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F0" w:rsidRPr="00472ACC" w:rsidRDefault="00472ACC" w:rsidP="0078016D">
      <w:pPr>
        <w:pStyle w:val="Heading1"/>
        <w:spacing w:before="0" w:line="240" w:lineRule="auto"/>
        <w:jc w:val="center"/>
        <w:rPr>
          <w:lang w:val="sr-Latn-RS"/>
        </w:rPr>
      </w:pPr>
      <w:bookmarkStart w:id="0" w:name="_GoBack"/>
      <w:bookmarkEnd w:id="0"/>
      <w:r w:rsidRPr="00472ACC">
        <w:rPr>
          <w:lang w:val="sr-Latn-RS"/>
        </w:rPr>
        <w:t>Izveštaj sa studijskog bora</w:t>
      </w:r>
      <w:r>
        <w:rPr>
          <w:lang w:val="sr-Latn-RS"/>
        </w:rPr>
        <w:t xml:space="preserve">vka na Univerzitetu u Notingemu </w:t>
      </w:r>
      <w:r w:rsidR="0078016D">
        <w:rPr>
          <w:lang w:val="sr-Latn-RS"/>
        </w:rPr>
        <w:t>u Istraživačkoj grupi za psihologiju rada</w:t>
      </w:r>
      <w:r w:rsidR="00D11DB7">
        <w:rPr>
          <w:rStyle w:val="FootnoteReference"/>
          <w:lang w:val="sr-Latn-RS"/>
        </w:rPr>
        <w:footnoteReference w:id="1"/>
      </w:r>
    </w:p>
    <w:p w:rsidR="0078016D" w:rsidRPr="00357E31" w:rsidRDefault="0078016D" w:rsidP="00472ACC">
      <w:pPr>
        <w:pStyle w:val="Default"/>
        <w:rPr>
          <w:lang w:val="de-DE"/>
        </w:rPr>
      </w:pPr>
    </w:p>
    <w:p w:rsidR="003E3317" w:rsidRPr="00357E31" w:rsidRDefault="003E3317" w:rsidP="00472ACC">
      <w:pPr>
        <w:pStyle w:val="Default"/>
        <w:rPr>
          <w:lang w:val="de-DE"/>
        </w:rPr>
      </w:pPr>
    </w:p>
    <w:p w:rsidR="00AF5B9C" w:rsidRPr="00AF5B9C" w:rsidRDefault="00AF5B9C" w:rsidP="00AF5B9C">
      <w:pPr>
        <w:pStyle w:val="Default"/>
        <w:jc w:val="both"/>
      </w:pPr>
      <w:r w:rsidRPr="00AF5B9C">
        <w:rPr>
          <w:b/>
          <w:i/>
        </w:rPr>
        <w:t>Pun naziv institucije domaćina:</w:t>
      </w:r>
      <w:r>
        <w:t xml:space="preserve"> </w:t>
      </w:r>
      <w:r w:rsidR="002D6B2E">
        <w:t>W</w:t>
      </w:r>
      <w:r w:rsidR="002D6B2E" w:rsidRPr="00EF7A5D">
        <w:t xml:space="preserve">ork </w:t>
      </w:r>
      <w:r w:rsidR="008F1F70">
        <w:t>Psychology Research G</w:t>
      </w:r>
      <w:r w:rsidR="002D6B2E" w:rsidRPr="00EF7A5D">
        <w:t>roup</w:t>
      </w:r>
      <w:r w:rsidR="001969AC" w:rsidRPr="00EF7A5D">
        <w:t xml:space="preserve">, </w:t>
      </w:r>
      <w:r w:rsidR="008F1F70">
        <w:t>Division of Psychiatry and Applied Psychology</w:t>
      </w:r>
      <w:r w:rsidR="001969AC" w:rsidRPr="00EF7A5D">
        <w:t>, University of Nottingham</w:t>
      </w:r>
    </w:p>
    <w:p w:rsidR="00AF5B9C" w:rsidRPr="00806DB9" w:rsidRDefault="00AF5B9C" w:rsidP="00FA098F">
      <w:pPr>
        <w:pStyle w:val="Default"/>
        <w:jc w:val="both"/>
        <w:rPr>
          <w:b/>
          <w:i/>
          <w:sz w:val="10"/>
          <w:szCs w:val="10"/>
        </w:rPr>
      </w:pPr>
    </w:p>
    <w:p w:rsidR="0078016D" w:rsidRDefault="0078016D" w:rsidP="00FA098F">
      <w:pPr>
        <w:pStyle w:val="Default"/>
        <w:jc w:val="both"/>
      </w:pPr>
      <w:r w:rsidRPr="0078016D">
        <w:rPr>
          <w:b/>
          <w:i/>
        </w:rPr>
        <w:t>Period boravka na Univerzitetu:</w:t>
      </w:r>
      <w:r w:rsidRPr="0078016D">
        <w:rPr>
          <w:i/>
        </w:rPr>
        <w:t xml:space="preserve"> </w:t>
      </w:r>
      <w:r w:rsidRPr="0078016D">
        <w:t xml:space="preserve">Od </w:t>
      </w:r>
      <w:r w:rsidR="00397335">
        <w:t>1</w:t>
      </w:r>
      <w:r w:rsidRPr="0078016D">
        <w:t>.</w:t>
      </w:r>
      <w:r w:rsidR="00835C78">
        <w:t xml:space="preserve"> </w:t>
      </w:r>
      <w:r w:rsidRPr="0078016D">
        <w:t xml:space="preserve">do </w:t>
      </w:r>
      <w:r w:rsidR="00397335">
        <w:t>31</w:t>
      </w:r>
      <w:r w:rsidRPr="0078016D">
        <w:t>. Maja 2014. godine (ukupno mesec dana)</w:t>
      </w:r>
    </w:p>
    <w:p w:rsidR="00FA098F" w:rsidRPr="00FA098F" w:rsidRDefault="00FA098F" w:rsidP="00FA098F">
      <w:pPr>
        <w:pStyle w:val="Default"/>
        <w:jc w:val="both"/>
        <w:rPr>
          <w:i/>
          <w:sz w:val="10"/>
          <w:szCs w:val="10"/>
        </w:rPr>
      </w:pPr>
    </w:p>
    <w:p w:rsidR="000D79C3" w:rsidRDefault="0078016D" w:rsidP="00FA098F">
      <w:pPr>
        <w:pStyle w:val="Default"/>
        <w:jc w:val="both"/>
      </w:pPr>
      <w:r w:rsidRPr="000D79C3">
        <w:rPr>
          <w:b/>
          <w:i/>
        </w:rPr>
        <w:t>Mentor:</w:t>
      </w:r>
      <w:r w:rsidR="000D79C3">
        <w:rPr>
          <w:b/>
          <w:i/>
        </w:rPr>
        <w:t xml:space="preserve"> </w:t>
      </w:r>
      <w:r w:rsidR="000D79C3" w:rsidRPr="00357E31">
        <w:t xml:space="preserve">Dr Iain Coyne </w:t>
      </w:r>
      <w:r w:rsidR="00357E31">
        <w:t>[</w:t>
      </w:r>
      <w:r w:rsidR="000D79C3" w:rsidRPr="00357E31">
        <w:t>Ian Kojn</w:t>
      </w:r>
      <w:r w:rsidR="00357E31">
        <w:t>]</w:t>
      </w:r>
      <w:r w:rsidR="000D79C3" w:rsidRPr="000D79C3">
        <w:t xml:space="preserve">, </w:t>
      </w:r>
      <w:r w:rsidR="001106AA">
        <w:t>A</w:t>
      </w:r>
      <w:r w:rsidR="001106AA" w:rsidRPr="000D79C3">
        <w:t xml:space="preserve">ssociate professor </w:t>
      </w:r>
      <w:r w:rsidR="008F1F70">
        <w:t xml:space="preserve">in Occupational Psychology, </w:t>
      </w:r>
      <w:r w:rsidR="000D79C3" w:rsidRPr="000D79C3">
        <w:t>University of Nottingham</w:t>
      </w:r>
      <w:r w:rsidRPr="000D79C3">
        <w:t xml:space="preserve"> </w:t>
      </w:r>
      <w:r w:rsidR="00FE387F">
        <w:t>[Docent, predavač iz</w:t>
      </w:r>
      <w:r w:rsidR="00FA098F">
        <w:t xml:space="preserve"> oblasti psihologije rada na Univerzitetu u Notingemu]</w:t>
      </w:r>
    </w:p>
    <w:p w:rsidR="00FA098F" w:rsidRPr="00FA098F" w:rsidRDefault="00FA098F" w:rsidP="00FA098F">
      <w:pPr>
        <w:pStyle w:val="Default"/>
        <w:jc w:val="both"/>
        <w:rPr>
          <w:sz w:val="10"/>
          <w:szCs w:val="10"/>
        </w:rPr>
      </w:pPr>
    </w:p>
    <w:p w:rsidR="00472ACC" w:rsidRDefault="0078016D" w:rsidP="00FA098F">
      <w:pPr>
        <w:pStyle w:val="Default"/>
        <w:jc w:val="both"/>
      </w:pPr>
      <w:r w:rsidRPr="00357E31">
        <w:rPr>
          <w:b/>
          <w:i/>
        </w:rPr>
        <w:t>Student:</w:t>
      </w:r>
      <w:r w:rsidRPr="00357E31">
        <w:rPr>
          <w:i/>
        </w:rPr>
        <w:t xml:space="preserve"> </w:t>
      </w:r>
      <w:r w:rsidRPr="00357E31">
        <w:t>Milica Vukelić, student doktorskih studija psihologije</w:t>
      </w:r>
      <w:r w:rsidR="00357E31" w:rsidRPr="00357E31">
        <w:t xml:space="preserve"> na Odeljenju za psihologiju Univerzitet</w:t>
      </w:r>
      <w:r w:rsidR="002D6B2E">
        <w:t>a</w:t>
      </w:r>
      <w:r w:rsidR="00357E31" w:rsidRPr="00357E31">
        <w:t xml:space="preserve"> u Beogradu</w:t>
      </w:r>
      <w:r w:rsidR="00FA098F" w:rsidRPr="00357E31">
        <w:t>, oblast interesovanja – psihologija rada</w:t>
      </w:r>
      <w:r w:rsidR="00357E31">
        <w:t xml:space="preserve">, </w:t>
      </w:r>
      <w:r w:rsidR="00806DB9" w:rsidRPr="009E0C3D">
        <w:t>zaposlena kao istraživač saradnik na</w:t>
      </w:r>
      <w:r w:rsidR="00806DB9">
        <w:t xml:space="preserve"> projektu 179018 </w:t>
      </w:r>
      <w:r w:rsidR="00897AD8">
        <w:t>Institut</w:t>
      </w:r>
      <w:r w:rsidR="003E3317">
        <w:t>a</w:t>
      </w:r>
      <w:r w:rsidR="00806DB9">
        <w:t xml:space="preserve"> za psihologiju, </w:t>
      </w:r>
      <w:r w:rsidR="00357E31">
        <w:t>mentor na doktorskim studijama: prof. dr Svetlana Čizmić</w:t>
      </w:r>
      <w:r w:rsidR="009E0C3D">
        <w:rPr>
          <w:i/>
        </w:rPr>
        <w:t xml:space="preserve"> </w:t>
      </w:r>
    </w:p>
    <w:p w:rsidR="00EF7A5D" w:rsidRPr="002D6B2E" w:rsidRDefault="00EF7A5D" w:rsidP="00FA098F">
      <w:pPr>
        <w:pStyle w:val="Default"/>
        <w:jc w:val="both"/>
        <w:rPr>
          <w:sz w:val="10"/>
          <w:szCs w:val="10"/>
        </w:rPr>
      </w:pPr>
    </w:p>
    <w:p w:rsidR="00EF7A5D" w:rsidRPr="00EF7A5D" w:rsidRDefault="00EF7A5D" w:rsidP="00FA098F">
      <w:pPr>
        <w:pStyle w:val="Default"/>
        <w:jc w:val="both"/>
      </w:pPr>
      <w:r w:rsidRPr="00EF7A5D">
        <w:rPr>
          <w:b/>
          <w:i/>
        </w:rPr>
        <w:t>Cilj boravka</w:t>
      </w:r>
      <w:r w:rsidR="00394712">
        <w:rPr>
          <w:b/>
          <w:i/>
        </w:rPr>
        <w:t xml:space="preserve"> (kako je navedeno u aplikaciji)</w:t>
      </w:r>
      <w:r>
        <w:t xml:space="preserve">: </w:t>
      </w:r>
      <w:r w:rsidR="003E3317">
        <w:t>r</w:t>
      </w:r>
      <w:r>
        <w:t xml:space="preserve">ad na zajedničkom </w:t>
      </w:r>
      <w:r w:rsidR="003E3317">
        <w:t>projektu</w:t>
      </w:r>
      <w:r>
        <w:t xml:space="preserve"> iz oblasti zlostavljanja na radu sa profesorom Kojnom, opserviranje rada istraživača,  informisanje o načinima rada na većim projektima vezanim za obl</w:t>
      </w:r>
      <w:r w:rsidR="001106AA">
        <w:t>a</w:t>
      </w:r>
      <w:r>
        <w:t>st psihologije rada, mentorski rad sa profesorom Kojnom</w:t>
      </w:r>
      <w:r w:rsidR="007A0A17">
        <w:t>.</w:t>
      </w:r>
    </w:p>
    <w:p w:rsidR="00AF5B9C" w:rsidRPr="009E0C3D" w:rsidRDefault="00AF5B9C" w:rsidP="00FA098F">
      <w:pPr>
        <w:pStyle w:val="Default"/>
        <w:jc w:val="both"/>
      </w:pPr>
    </w:p>
    <w:p w:rsidR="0078016D" w:rsidRPr="002D6B2E" w:rsidRDefault="0078016D" w:rsidP="00472ACC">
      <w:pPr>
        <w:pStyle w:val="Default"/>
        <w:rPr>
          <w:b/>
          <w:color w:val="auto"/>
        </w:rPr>
      </w:pPr>
      <w:r w:rsidRPr="002D6B2E">
        <w:rPr>
          <w:b/>
          <w:i/>
          <w:color w:val="auto"/>
        </w:rPr>
        <w:t xml:space="preserve">O Univerzitetu </w:t>
      </w:r>
    </w:p>
    <w:p w:rsidR="00FA098F" w:rsidRDefault="00FA098F" w:rsidP="00472ACC">
      <w:pPr>
        <w:pStyle w:val="Default"/>
        <w:rPr>
          <w:color w:val="auto"/>
        </w:rPr>
      </w:pPr>
    </w:p>
    <w:p w:rsidR="00394712" w:rsidRDefault="00357E31" w:rsidP="00267BE8">
      <w:pPr>
        <w:pStyle w:val="Default"/>
        <w:ind w:firstLine="720"/>
        <w:jc w:val="both"/>
        <w:rPr>
          <w:color w:val="auto"/>
        </w:rPr>
      </w:pPr>
      <w:r w:rsidRPr="00357E31">
        <w:rPr>
          <w:color w:val="auto"/>
        </w:rPr>
        <w:t xml:space="preserve">Univerzitet u Notingemu nastao je krajem </w:t>
      </w:r>
      <w:r w:rsidR="00267BE8">
        <w:rPr>
          <w:color w:val="auto"/>
        </w:rPr>
        <w:t>devetnaestog</w:t>
      </w:r>
      <w:r w:rsidRPr="00357E31">
        <w:rPr>
          <w:color w:val="auto"/>
        </w:rPr>
        <w:t xml:space="preserve"> veka u samom centru Notingema i to</w:t>
      </w:r>
      <w:r w:rsidR="00267BE8">
        <w:rPr>
          <w:color w:val="auto"/>
        </w:rPr>
        <w:t xml:space="preserve"> prvo </w:t>
      </w:r>
      <w:r w:rsidRPr="00357E31">
        <w:rPr>
          <w:color w:val="auto"/>
        </w:rPr>
        <w:t xml:space="preserve">kao </w:t>
      </w:r>
      <w:r w:rsidR="00267BE8">
        <w:rPr>
          <w:color w:val="auto"/>
        </w:rPr>
        <w:t>viša</w:t>
      </w:r>
      <w:r w:rsidRPr="00357E31">
        <w:rPr>
          <w:color w:val="auto"/>
        </w:rPr>
        <w:t xml:space="preserve"> škola</w:t>
      </w:r>
      <w:r w:rsidR="00774805">
        <w:rPr>
          <w:color w:val="auto"/>
        </w:rPr>
        <w:t xml:space="preserve"> - koledž</w:t>
      </w:r>
      <w:r w:rsidRPr="00357E31">
        <w:rPr>
          <w:color w:val="auto"/>
        </w:rPr>
        <w:t xml:space="preserve"> (civic college)</w:t>
      </w:r>
      <w:r>
        <w:rPr>
          <w:color w:val="auto"/>
        </w:rPr>
        <w:t xml:space="preserve">. Početkom dvadesetog veka </w:t>
      </w:r>
      <w:r w:rsidR="00267BE8">
        <w:rPr>
          <w:color w:val="auto"/>
        </w:rPr>
        <w:t>u</w:t>
      </w:r>
      <w:r>
        <w:rPr>
          <w:color w:val="auto"/>
        </w:rPr>
        <w:t>niverzitet se iz centra grada seli u deo grada ko</w:t>
      </w:r>
      <w:r w:rsidR="001969AC">
        <w:rPr>
          <w:color w:val="auto"/>
        </w:rPr>
        <w:t>ji je prepoznatljiv po</w:t>
      </w:r>
      <w:r>
        <w:rPr>
          <w:color w:val="auto"/>
        </w:rPr>
        <w:t xml:space="preserve"> </w:t>
      </w:r>
      <w:r w:rsidR="001969AC">
        <w:rPr>
          <w:color w:val="auto"/>
        </w:rPr>
        <w:t>živopisnom</w:t>
      </w:r>
      <w:r>
        <w:rPr>
          <w:color w:val="auto"/>
        </w:rPr>
        <w:t xml:space="preserve"> park</w:t>
      </w:r>
      <w:r w:rsidR="001969AC">
        <w:rPr>
          <w:color w:val="auto"/>
        </w:rPr>
        <w:t>u</w:t>
      </w:r>
      <w:r>
        <w:rPr>
          <w:color w:val="auto"/>
        </w:rPr>
        <w:t xml:space="preserve"> i</w:t>
      </w:r>
      <w:r w:rsidR="00267BE8">
        <w:rPr>
          <w:color w:val="auto"/>
        </w:rPr>
        <w:t xml:space="preserve"> malo</w:t>
      </w:r>
      <w:r w:rsidR="001969AC">
        <w:rPr>
          <w:color w:val="auto"/>
        </w:rPr>
        <w:t>m jezeru</w:t>
      </w:r>
      <w:r w:rsidR="00267BE8">
        <w:rPr>
          <w:color w:val="auto"/>
        </w:rPr>
        <w:t xml:space="preserve"> pored koga tada nastaje impresivna zgrada “</w:t>
      </w:r>
      <w:r w:rsidR="00267BE8" w:rsidRPr="00267BE8">
        <w:rPr>
          <w:i/>
          <w:color w:val="auto"/>
        </w:rPr>
        <w:t xml:space="preserve">Trent </w:t>
      </w:r>
      <w:r w:rsidR="008261A9">
        <w:rPr>
          <w:i/>
          <w:color w:val="auto"/>
        </w:rPr>
        <w:t>B</w:t>
      </w:r>
      <w:r w:rsidR="00267BE8" w:rsidRPr="00267BE8">
        <w:rPr>
          <w:i/>
          <w:color w:val="auto"/>
        </w:rPr>
        <w:t>uilding</w:t>
      </w:r>
      <w:r w:rsidR="00267BE8">
        <w:rPr>
          <w:color w:val="auto"/>
        </w:rPr>
        <w:t>” odakle univerzitet kreće da se širi i izgrađuje.  Posle</w:t>
      </w:r>
      <w:r w:rsidR="008F1F70">
        <w:rPr>
          <w:color w:val="auto"/>
        </w:rPr>
        <w:t xml:space="preserve"> Drugog</w:t>
      </w:r>
      <w:r w:rsidR="00267BE8">
        <w:rPr>
          <w:color w:val="auto"/>
        </w:rPr>
        <w:t xml:space="preserve"> </w:t>
      </w:r>
      <w:r w:rsidR="00D27360">
        <w:rPr>
          <w:color w:val="auto"/>
        </w:rPr>
        <w:t>s</w:t>
      </w:r>
      <w:r w:rsidR="00267BE8">
        <w:rPr>
          <w:color w:val="auto"/>
        </w:rPr>
        <w:t xml:space="preserve">vetskog rata univerzitetu je dodeljen zvanični status “univerziteta”, odnosno status visokoškolske institucije. Od tog trenutka </w:t>
      </w:r>
      <w:r w:rsidR="00AF5B9C">
        <w:rPr>
          <w:color w:val="auto"/>
        </w:rPr>
        <w:t>u</w:t>
      </w:r>
      <w:r w:rsidR="00267BE8">
        <w:rPr>
          <w:color w:val="auto"/>
        </w:rPr>
        <w:t xml:space="preserve">niverzitet počinje rapidno da se razvija i to tako što se otvaraju različiti departmani i izgrađuje smeštaj za studente (kampus) koji predstavlja sastavni deo Univerziteta.  </w:t>
      </w:r>
    </w:p>
    <w:p w:rsidR="00FA098F" w:rsidRDefault="00267BE8" w:rsidP="00267BE8">
      <w:pPr>
        <w:pStyle w:val="Default"/>
        <w:ind w:firstLine="720"/>
        <w:jc w:val="both"/>
        <w:rPr>
          <w:color w:val="auto"/>
        </w:rPr>
      </w:pPr>
      <w:r w:rsidRPr="00AF5B9C">
        <w:rPr>
          <w:color w:val="auto"/>
        </w:rPr>
        <w:t>Osim glavnog kampusa (</w:t>
      </w:r>
      <w:r w:rsidR="00AF5B9C" w:rsidRPr="00AF5B9C">
        <w:rPr>
          <w:color w:val="auto"/>
        </w:rPr>
        <w:t>“</w:t>
      </w:r>
      <w:r w:rsidRPr="00C16F3D">
        <w:rPr>
          <w:i/>
          <w:color w:val="auto"/>
        </w:rPr>
        <w:t>University park campus</w:t>
      </w:r>
      <w:r w:rsidR="00AF5B9C" w:rsidRPr="00AF5B9C">
        <w:rPr>
          <w:color w:val="auto"/>
        </w:rPr>
        <w:t>”</w:t>
      </w:r>
      <w:r w:rsidRPr="00AF5B9C">
        <w:rPr>
          <w:color w:val="auto"/>
        </w:rPr>
        <w:t>), odakle je univer</w:t>
      </w:r>
      <w:r w:rsidR="00AF5B9C" w:rsidRPr="00AF5B9C">
        <w:rPr>
          <w:color w:val="auto"/>
        </w:rPr>
        <w:t>zitet i počeo da se širi</w:t>
      </w:r>
      <w:r w:rsidR="00AF5B9C">
        <w:rPr>
          <w:color w:val="auto"/>
        </w:rPr>
        <w:t>, u sastavu univ</w:t>
      </w:r>
      <w:r w:rsidR="00AF5B9C" w:rsidRPr="00AF5B9C">
        <w:rPr>
          <w:color w:val="auto"/>
        </w:rPr>
        <w:t xml:space="preserve">erziteta su i sledeći kampusi u Notingemu: </w:t>
      </w:r>
      <w:r w:rsidR="00AF5B9C" w:rsidRPr="00BB4BE8">
        <w:rPr>
          <w:i/>
          <w:color w:val="auto"/>
        </w:rPr>
        <w:t xml:space="preserve">Jubilee </w:t>
      </w:r>
      <w:r w:rsidR="008F1F70">
        <w:rPr>
          <w:i/>
          <w:color w:val="auto"/>
        </w:rPr>
        <w:t>C</w:t>
      </w:r>
      <w:r w:rsidR="00AF5B9C" w:rsidRPr="00BB4BE8">
        <w:rPr>
          <w:i/>
          <w:color w:val="auto"/>
        </w:rPr>
        <w:t>ampus</w:t>
      </w:r>
      <w:r w:rsidR="00AF5B9C">
        <w:rPr>
          <w:color w:val="auto"/>
        </w:rPr>
        <w:t xml:space="preserve">, </w:t>
      </w:r>
      <w:r w:rsidR="00AF5B9C" w:rsidRPr="00BB4BE8">
        <w:rPr>
          <w:i/>
          <w:color w:val="auto"/>
        </w:rPr>
        <w:t xml:space="preserve">Sutton </w:t>
      </w:r>
      <w:r w:rsidR="008F1F70">
        <w:rPr>
          <w:i/>
          <w:color w:val="auto"/>
        </w:rPr>
        <w:t>B</w:t>
      </w:r>
      <w:r w:rsidR="00AF5B9C" w:rsidRPr="00BB4BE8">
        <w:rPr>
          <w:i/>
          <w:color w:val="auto"/>
        </w:rPr>
        <w:t xml:space="preserve">onington </w:t>
      </w:r>
      <w:r w:rsidR="008F1F70">
        <w:rPr>
          <w:i/>
          <w:color w:val="auto"/>
        </w:rPr>
        <w:t>C</w:t>
      </w:r>
      <w:r w:rsidR="00AF5B9C" w:rsidRPr="00BB4BE8">
        <w:rPr>
          <w:i/>
          <w:color w:val="auto"/>
        </w:rPr>
        <w:t>ampus</w:t>
      </w:r>
      <w:r w:rsidR="00AF5B9C">
        <w:rPr>
          <w:color w:val="auto"/>
        </w:rPr>
        <w:t xml:space="preserve">, </w:t>
      </w:r>
      <w:r w:rsidR="00AF5B9C" w:rsidRPr="00BB4BE8">
        <w:rPr>
          <w:i/>
          <w:color w:val="auto"/>
        </w:rPr>
        <w:t xml:space="preserve">King’s Meadow </w:t>
      </w:r>
      <w:r w:rsidR="008F1F70">
        <w:rPr>
          <w:i/>
          <w:color w:val="auto"/>
        </w:rPr>
        <w:t>C</w:t>
      </w:r>
      <w:r w:rsidR="00AF5B9C" w:rsidRPr="00BB4BE8">
        <w:rPr>
          <w:i/>
          <w:color w:val="auto"/>
        </w:rPr>
        <w:t>ampus</w:t>
      </w:r>
      <w:r w:rsidR="00AF5B9C">
        <w:rPr>
          <w:color w:val="auto"/>
        </w:rPr>
        <w:t xml:space="preserve"> i </w:t>
      </w:r>
      <w:r w:rsidR="008F1F70">
        <w:rPr>
          <w:color w:val="auto"/>
        </w:rPr>
        <w:t xml:space="preserve">kampus u okviru </w:t>
      </w:r>
      <w:r w:rsidR="00AF5B9C" w:rsidRPr="00BB4BE8">
        <w:rPr>
          <w:i/>
          <w:color w:val="auto"/>
        </w:rPr>
        <w:t xml:space="preserve">Derby </w:t>
      </w:r>
      <w:r w:rsidR="008F1F70">
        <w:rPr>
          <w:i/>
          <w:color w:val="auto"/>
        </w:rPr>
        <w:t>C</w:t>
      </w:r>
      <w:r w:rsidR="00AF5B9C" w:rsidRPr="00BB4BE8">
        <w:rPr>
          <w:i/>
          <w:color w:val="auto"/>
        </w:rPr>
        <w:t xml:space="preserve">ity </w:t>
      </w:r>
      <w:r w:rsidR="008F1F70">
        <w:rPr>
          <w:i/>
          <w:color w:val="auto"/>
        </w:rPr>
        <w:t>G</w:t>
      </w:r>
      <w:r w:rsidR="00AF5B9C" w:rsidRPr="00BB4BE8">
        <w:rPr>
          <w:i/>
          <w:color w:val="auto"/>
        </w:rPr>
        <w:t xml:space="preserve">eneral </w:t>
      </w:r>
      <w:r w:rsidR="008F1F70">
        <w:rPr>
          <w:i/>
          <w:color w:val="auto"/>
        </w:rPr>
        <w:t>H</w:t>
      </w:r>
      <w:r w:rsidR="00AF5B9C" w:rsidRPr="00BB4BE8">
        <w:rPr>
          <w:i/>
          <w:color w:val="auto"/>
        </w:rPr>
        <w:t>ospital</w:t>
      </w:r>
      <w:r w:rsidR="00AF5B9C" w:rsidRPr="00AF5B9C">
        <w:rPr>
          <w:color w:val="auto"/>
        </w:rPr>
        <w:t>.</w:t>
      </w:r>
      <w:r w:rsidR="00AF5B9C">
        <w:rPr>
          <w:color w:val="auto"/>
        </w:rPr>
        <w:t xml:space="preserve"> Osim kampusa u Notingemu</w:t>
      </w:r>
      <w:r w:rsidR="001969AC">
        <w:rPr>
          <w:color w:val="auto"/>
        </w:rPr>
        <w:t>,</w:t>
      </w:r>
      <w:r w:rsidR="00AF5B9C">
        <w:rPr>
          <w:color w:val="auto"/>
        </w:rPr>
        <w:t xml:space="preserve"> </w:t>
      </w:r>
      <w:r w:rsidR="001969AC">
        <w:rPr>
          <w:color w:val="auto"/>
        </w:rPr>
        <w:t>u</w:t>
      </w:r>
      <w:r w:rsidR="00AF5B9C">
        <w:rPr>
          <w:color w:val="auto"/>
        </w:rPr>
        <w:t xml:space="preserve">niverzitet ima i dva internacionalna kampusa u Kini i Maleziji zbog čega je od britanskog Tajms magazina dobio epitet britanskog univerziteta koji </w:t>
      </w:r>
      <w:r w:rsidR="00BB4BE8">
        <w:rPr>
          <w:color w:val="auto"/>
        </w:rPr>
        <w:t>je najbliže onome što se može nazvati “globalni univerzitet”. O ovome svedoči i veliki broj studenata iz svih delova sveta koji pohađaju Univerzitet</w:t>
      </w:r>
      <w:r w:rsidR="001106AA">
        <w:rPr>
          <w:color w:val="auto"/>
        </w:rPr>
        <w:t xml:space="preserve"> u Notingemu</w:t>
      </w:r>
      <w:r w:rsidR="00BB4BE8">
        <w:rPr>
          <w:color w:val="auto"/>
        </w:rPr>
        <w:t>.</w:t>
      </w:r>
      <w:r w:rsidR="006F295F">
        <w:rPr>
          <w:color w:val="auto"/>
        </w:rPr>
        <w:t xml:space="preserve"> </w:t>
      </w:r>
      <w:r w:rsidR="00BB4BE8">
        <w:rPr>
          <w:color w:val="auto"/>
        </w:rPr>
        <w:t>Multikulturalnost se može</w:t>
      </w:r>
      <w:r w:rsidR="008F1F70">
        <w:rPr>
          <w:color w:val="auto"/>
        </w:rPr>
        <w:t xml:space="preserve"> neposredno doživeti</w:t>
      </w:r>
      <w:r w:rsidR="00BB4BE8">
        <w:rPr>
          <w:color w:val="auto"/>
        </w:rPr>
        <w:t xml:space="preserve"> u univerzitetskim autobusima</w:t>
      </w:r>
      <w:r w:rsidR="00D540B8">
        <w:rPr>
          <w:color w:val="auto"/>
        </w:rPr>
        <w:t>,</w:t>
      </w:r>
      <w:r w:rsidR="00BB4BE8">
        <w:rPr>
          <w:color w:val="auto"/>
        </w:rPr>
        <w:t xml:space="preserve"> koji prevoze studente od jednog do drugog kampusa</w:t>
      </w:r>
      <w:r w:rsidR="00D540B8">
        <w:rPr>
          <w:color w:val="auto"/>
        </w:rPr>
        <w:t>,</w:t>
      </w:r>
      <w:r w:rsidR="00BB4BE8">
        <w:rPr>
          <w:color w:val="auto"/>
        </w:rPr>
        <w:t xml:space="preserve"> gde se u jutarnjem špicu može</w:t>
      </w:r>
      <w:r w:rsidR="00D11DB7">
        <w:rPr>
          <w:color w:val="auto"/>
        </w:rPr>
        <w:t xml:space="preserve"> istovremeno</w:t>
      </w:r>
      <w:r w:rsidR="00BB4BE8">
        <w:rPr>
          <w:color w:val="auto"/>
        </w:rPr>
        <w:t xml:space="preserve"> čuti i po 3-4 st</w:t>
      </w:r>
      <w:r w:rsidR="001106AA">
        <w:rPr>
          <w:color w:val="auto"/>
        </w:rPr>
        <w:t>rana</w:t>
      </w:r>
      <w:r w:rsidR="00BB4BE8">
        <w:rPr>
          <w:color w:val="auto"/>
        </w:rPr>
        <w:t xml:space="preserve"> jezika. </w:t>
      </w:r>
      <w:r w:rsidR="001969AC">
        <w:rPr>
          <w:color w:val="auto"/>
        </w:rPr>
        <w:t xml:space="preserve">Ovo iskustvo dokaz je doslednog sprovođenja jedne od glavnih misija Univerziteta u Notingemu, a to je obezbeđivanje internacionalnog obrazovanja i pozicioniranja njegovih istraživača, naučnika, nastavnika i studenata na globalnu </w:t>
      </w:r>
      <w:r w:rsidR="0028207B">
        <w:rPr>
          <w:color w:val="auto"/>
        </w:rPr>
        <w:t xml:space="preserve">naučnu i obrazovnu </w:t>
      </w:r>
      <w:r w:rsidR="001969AC">
        <w:rPr>
          <w:color w:val="auto"/>
        </w:rPr>
        <w:t>scenu.</w:t>
      </w:r>
    </w:p>
    <w:p w:rsidR="00897AD8" w:rsidRPr="00CE0D7F" w:rsidRDefault="00BB4BE8" w:rsidP="00267BE8">
      <w:pPr>
        <w:pStyle w:val="Default"/>
        <w:ind w:firstLine="720"/>
        <w:jc w:val="both"/>
        <w:rPr>
          <w:color w:val="auto"/>
          <w:lang w:val="de-DE"/>
        </w:rPr>
      </w:pPr>
      <w:r>
        <w:rPr>
          <w:color w:val="auto"/>
        </w:rPr>
        <w:lastRenderedPageBreak/>
        <w:t>Univerzitet trenutno ima oko 65 departmana, 87 istraživačkih centara i institucija i više od 50 organizacija i servisa koje posetiocima i studentima pruža</w:t>
      </w:r>
      <w:r w:rsidR="001969AC">
        <w:rPr>
          <w:color w:val="auto"/>
        </w:rPr>
        <w:t>ju različite neophodne usluge. Uprkos velikom broju studenata, departmana</w:t>
      </w:r>
      <w:r w:rsidR="00D540B8">
        <w:rPr>
          <w:color w:val="auto"/>
        </w:rPr>
        <w:t>,</w:t>
      </w:r>
      <w:r w:rsidR="001106AA">
        <w:rPr>
          <w:color w:val="auto"/>
        </w:rPr>
        <w:t xml:space="preserve"> ali i</w:t>
      </w:r>
      <w:r w:rsidR="00D540B8">
        <w:rPr>
          <w:color w:val="auto"/>
        </w:rPr>
        <w:t xml:space="preserve"> kafea i knjižara</w:t>
      </w:r>
      <w:r w:rsidR="009E0C3D">
        <w:rPr>
          <w:color w:val="auto"/>
        </w:rPr>
        <w:t xml:space="preserve"> – glavni utisak posetioca je pažljivo isplaniran prostor, mirna sredina za rad i učenje koj</w:t>
      </w:r>
      <w:r w:rsidR="00D11DB7">
        <w:rPr>
          <w:color w:val="auto"/>
        </w:rPr>
        <w:t>oj</w:t>
      </w:r>
      <w:r w:rsidR="009E0C3D">
        <w:rPr>
          <w:color w:val="auto"/>
        </w:rPr>
        <w:t xml:space="preserve"> doprinosi </w:t>
      </w:r>
      <w:r w:rsidR="00D11DB7">
        <w:rPr>
          <w:color w:val="auto"/>
        </w:rPr>
        <w:t>to</w:t>
      </w:r>
      <w:r w:rsidR="009E0C3D">
        <w:rPr>
          <w:color w:val="auto"/>
        </w:rPr>
        <w:t xml:space="preserve"> da se glavni kampus nalazi u velikom parku</w:t>
      </w:r>
      <w:r w:rsidR="00806DB9">
        <w:rPr>
          <w:color w:val="auto"/>
        </w:rPr>
        <w:t xml:space="preserve"> sa lepim jezerom</w:t>
      </w:r>
      <w:r w:rsidR="00011856">
        <w:rPr>
          <w:color w:val="auto"/>
        </w:rPr>
        <w:t xml:space="preserve"> i impozantna</w:t>
      </w:r>
      <w:r w:rsidR="009E0C3D">
        <w:rPr>
          <w:color w:val="auto"/>
        </w:rPr>
        <w:t xml:space="preserve"> modernistička arhitektura.</w:t>
      </w:r>
      <w:r w:rsidR="001106AA">
        <w:rPr>
          <w:color w:val="auto"/>
        </w:rPr>
        <w:t xml:space="preserve"> Univerzitet obiluje prostorija</w:t>
      </w:r>
      <w:r w:rsidR="0028207B">
        <w:rPr>
          <w:color w:val="auto"/>
        </w:rPr>
        <w:t>ma</w:t>
      </w:r>
      <w:r w:rsidR="001106AA">
        <w:rPr>
          <w:color w:val="auto"/>
        </w:rPr>
        <w:t xml:space="preserve"> </w:t>
      </w:r>
      <w:r w:rsidR="00C16F3D">
        <w:rPr>
          <w:color w:val="auto"/>
        </w:rPr>
        <w:t xml:space="preserve">gde studenti, nastavnici i istraživači mogu da se sastaju i rade nezavisno od kancelarija i učionica. </w:t>
      </w:r>
      <w:r w:rsidR="00C16F3D" w:rsidRPr="00CE0D7F">
        <w:rPr>
          <w:color w:val="auto"/>
          <w:lang w:val="de-DE"/>
        </w:rPr>
        <w:t xml:space="preserve">Ove prostorije se nalaze u holovima zgrada i posebnim delovima univerzitetskog parka. </w:t>
      </w:r>
      <w:r w:rsidR="001106AA" w:rsidRPr="00CE0D7F">
        <w:rPr>
          <w:color w:val="auto"/>
          <w:lang w:val="de-DE"/>
        </w:rPr>
        <w:t xml:space="preserve">U </w:t>
      </w:r>
      <w:r w:rsidR="00C16F3D" w:rsidRPr="00CE0D7F">
        <w:rPr>
          <w:color w:val="auto"/>
          <w:lang w:val="de-DE"/>
        </w:rPr>
        <w:t>holovima</w:t>
      </w:r>
      <w:r w:rsidR="001106AA" w:rsidRPr="00CE0D7F">
        <w:rPr>
          <w:color w:val="auto"/>
          <w:lang w:val="de-DE"/>
        </w:rPr>
        <w:t xml:space="preserve"> zgrada su </w:t>
      </w:r>
      <w:r w:rsidR="00897AD8" w:rsidRPr="00CE0D7F">
        <w:rPr>
          <w:color w:val="auto"/>
          <w:lang w:val="de-DE"/>
        </w:rPr>
        <w:t xml:space="preserve">u tu svrhu </w:t>
      </w:r>
      <w:r w:rsidR="00D11DB7">
        <w:rPr>
          <w:color w:val="auto"/>
          <w:lang w:val="de-DE"/>
        </w:rPr>
        <w:t>postavljene</w:t>
      </w:r>
      <w:r w:rsidR="001106AA" w:rsidRPr="00CE0D7F">
        <w:rPr>
          <w:color w:val="auto"/>
          <w:lang w:val="de-DE"/>
        </w:rPr>
        <w:t xml:space="preserve"> fotelje, stolice i stolovi</w:t>
      </w:r>
      <w:r w:rsidR="00897AD8" w:rsidRPr="00CE0D7F">
        <w:rPr>
          <w:color w:val="auto"/>
          <w:lang w:val="de-DE"/>
        </w:rPr>
        <w:t>, a</w:t>
      </w:r>
      <w:r w:rsidR="00D04777">
        <w:rPr>
          <w:color w:val="auto"/>
          <w:lang w:val="de-DE"/>
        </w:rPr>
        <w:t xml:space="preserve"> kafei u sklopu</w:t>
      </w:r>
      <w:r w:rsidR="00897AD8" w:rsidRPr="00CE0D7F">
        <w:rPr>
          <w:color w:val="auto"/>
          <w:lang w:val="de-DE"/>
        </w:rPr>
        <w:t xml:space="preserve"> univerziteta prate potrebu</w:t>
      </w:r>
      <w:r w:rsidR="00011856" w:rsidRPr="00CE0D7F">
        <w:rPr>
          <w:color w:val="auto"/>
          <w:lang w:val="de-DE"/>
        </w:rPr>
        <w:t xml:space="preserve"> i za radom i za</w:t>
      </w:r>
      <w:r w:rsidR="00897AD8" w:rsidRPr="00CE0D7F">
        <w:rPr>
          <w:color w:val="auto"/>
          <w:lang w:val="de-DE"/>
        </w:rPr>
        <w:t xml:space="preserve"> sastajanjem i relaksacijom korisnika</w:t>
      </w:r>
      <w:r w:rsidR="001106AA" w:rsidRPr="00CE0D7F">
        <w:rPr>
          <w:color w:val="auto"/>
          <w:lang w:val="de-DE"/>
        </w:rPr>
        <w:t xml:space="preserve">. </w:t>
      </w:r>
    </w:p>
    <w:p w:rsidR="00EF7A5D" w:rsidRPr="00CE0D7F" w:rsidRDefault="009E0C3D" w:rsidP="00267BE8">
      <w:pPr>
        <w:pStyle w:val="Default"/>
        <w:ind w:firstLine="720"/>
        <w:jc w:val="both"/>
        <w:rPr>
          <w:color w:val="auto"/>
          <w:lang w:val="de-DE"/>
        </w:rPr>
      </w:pPr>
      <w:r w:rsidRPr="00CE0D7F">
        <w:rPr>
          <w:color w:val="auto"/>
          <w:lang w:val="de-DE"/>
        </w:rPr>
        <w:t xml:space="preserve"> Sam univerzitet je u velikoj meri usmeren na pružanje </w:t>
      </w:r>
      <w:r w:rsidR="00897AD8" w:rsidRPr="00CE0D7F">
        <w:rPr>
          <w:color w:val="auto"/>
          <w:lang w:val="de-DE"/>
        </w:rPr>
        <w:t xml:space="preserve">raznolike </w:t>
      </w:r>
      <w:r w:rsidRPr="00CE0D7F">
        <w:rPr>
          <w:color w:val="auto"/>
          <w:lang w:val="de-DE"/>
        </w:rPr>
        <w:t xml:space="preserve">podrške studentima </w:t>
      </w:r>
      <w:r w:rsidR="00806DB9" w:rsidRPr="00CE0D7F">
        <w:rPr>
          <w:color w:val="auto"/>
          <w:lang w:val="de-DE"/>
        </w:rPr>
        <w:t>koja se ogleda u različitim servisima koji studentima pružaju savete oko studiranja, smeštaja</w:t>
      </w:r>
      <w:r w:rsidR="00897AD8" w:rsidRPr="00CE0D7F">
        <w:rPr>
          <w:color w:val="auto"/>
          <w:lang w:val="de-DE"/>
        </w:rPr>
        <w:t xml:space="preserve"> organizovanja</w:t>
      </w:r>
      <w:r w:rsidR="00806DB9" w:rsidRPr="00CE0D7F">
        <w:rPr>
          <w:color w:val="auto"/>
          <w:lang w:val="de-DE"/>
        </w:rPr>
        <w:t xml:space="preserve"> </w:t>
      </w:r>
      <w:r w:rsidR="00D540B8" w:rsidRPr="00CE0D7F">
        <w:rPr>
          <w:color w:val="auto"/>
          <w:lang w:val="de-DE"/>
        </w:rPr>
        <w:t xml:space="preserve">ishrane i </w:t>
      </w:r>
      <w:r w:rsidR="00897AD8" w:rsidRPr="00CE0D7F">
        <w:rPr>
          <w:color w:val="auto"/>
          <w:lang w:val="de-DE"/>
        </w:rPr>
        <w:t xml:space="preserve">brige o </w:t>
      </w:r>
      <w:r w:rsidR="00D540B8" w:rsidRPr="00CE0D7F">
        <w:rPr>
          <w:color w:val="auto"/>
          <w:lang w:val="de-DE"/>
        </w:rPr>
        <w:t>z</w:t>
      </w:r>
      <w:r w:rsidR="00897AD8" w:rsidRPr="00CE0D7F">
        <w:rPr>
          <w:color w:val="auto"/>
          <w:lang w:val="de-DE"/>
        </w:rPr>
        <w:t>dravlju</w:t>
      </w:r>
      <w:r w:rsidR="00011856" w:rsidRPr="00CE0D7F">
        <w:rPr>
          <w:color w:val="auto"/>
          <w:lang w:val="de-DE"/>
        </w:rPr>
        <w:t xml:space="preserve">. Osim toga, studenti mogu dobiti i </w:t>
      </w:r>
      <w:r w:rsidR="00806DB9" w:rsidRPr="00CE0D7F">
        <w:rPr>
          <w:color w:val="auto"/>
          <w:lang w:val="de-DE"/>
        </w:rPr>
        <w:t>prv</w:t>
      </w:r>
      <w:r w:rsidR="00897AD8" w:rsidRPr="00CE0D7F">
        <w:rPr>
          <w:color w:val="auto"/>
          <w:lang w:val="de-DE"/>
        </w:rPr>
        <w:t>u</w:t>
      </w:r>
      <w:r w:rsidR="00806DB9" w:rsidRPr="00CE0D7F">
        <w:rPr>
          <w:color w:val="auto"/>
          <w:lang w:val="de-DE"/>
        </w:rPr>
        <w:t xml:space="preserve"> pomoć</w:t>
      </w:r>
      <w:r w:rsidR="00897AD8" w:rsidRPr="00CE0D7F">
        <w:rPr>
          <w:color w:val="auto"/>
          <w:lang w:val="de-DE"/>
        </w:rPr>
        <w:t xml:space="preserve"> </w:t>
      </w:r>
      <w:r w:rsidR="00806DB9" w:rsidRPr="00CE0D7F">
        <w:rPr>
          <w:color w:val="auto"/>
          <w:lang w:val="de-DE"/>
        </w:rPr>
        <w:t>u kriznim situacijama</w:t>
      </w:r>
      <w:r w:rsidR="00D540B8" w:rsidRPr="00CE0D7F">
        <w:rPr>
          <w:color w:val="auto"/>
          <w:lang w:val="de-DE"/>
        </w:rPr>
        <w:t xml:space="preserve"> (ispitna anksioznost, problemi sa učenjem)</w:t>
      </w:r>
      <w:r w:rsidR="00011856" w:rsidRPr="00CE0D7F">
        <w:rPr>
          <w:color w:val="auto"/>
          <w:lang w:val="de-DE"/>
        </w:rPr>
        <w:t>,</w:t>
      </w:r>
      <w:r w:rsidR="00806DB9" w:rsidRPr="00CE0D7F">
        <w:rPr>
          <w:color w:val="auto"/>
          <w:lang w:val="de-DE"/>
        </w:rPr>
        <w:t xml:space="preserve"> </w:t>
      </w:r>
      <w:r w:rsidR="00897AD8" w:rsidRPr="00CE0D7F">
        <w:rPr>
          <w:color w:val="auto"/>
          <w:lang w:val="de-DE"/>
        </w:rPr>
        <w:t xml:space="preserve">savete oko </w:t>
      </w:r>
      <w:r w:rsidR="00806DB9" w:rsidRPr="00CE0D7F">
        <w:rPr>
          <w:color w:val="auto"/>
          <w:lang w:val="de-DE"/>
        </w:rPr>
        <w:t>razvoja karijere (organizovanja sajmova zapošljavanja, podrške u traženju posla i nastavku studija)</w:t>
      </w:r>
      <w:r w:rsidR="00D04777">
        <w:rPr>
          <w:color w:val="auto"/>
          <w:lang w:val="de-DE"/>
        </w:rPr>
        <w:t>,</w:t>
      </w:r>
      <w:r w:rsidR="00011856" w:rsidRPr="00CE0D7F">
        <w:rPr>
          <w:color w:val="auto"/>
          <w:lang w:val="de-DE"/>
        </w:rPr>
        <w:t xml:space="preserve"> zaposlenja tokom studija i obezbeđivanja novca za</w:t>
      </w:r>
      <w:r w:rsidR="00D04777">
        <w:rPr>
          <w:color w:val="auto"/>
          <w:lang w:val="de-DE"/>
        </w:rPr>
        <w:t xml:space="preserve"> finansiranje studija</w:t>
      </w:r>
      <w:r w:rsidR="00806DB9" w:rsidRPr="00CE0D7F">
        <w:rPr>
          <w:color w:val="auto"/>
          <w:lang w:val="de-DE"/>
        </w:rPr>
        <w:t xml:space="preserve">. </w:t>
      </w:r>
      <w:r w:rsidR="00774805" w:rsidRPr="00CE0D7F">
        <w:rPr>
          <w:color w:val="auto"/>
          <w:lang w:val="de-DE"/>
        </w:rPr>
        <w:t>Pored toga</w:t>
      </w:r>
      <w:r w:rsidR="00011856" w:rsidRPr="00CE0D7F">
        <w:rPr>
          <w:color w:val="auto"/>
          <w:lang w:val="de-DE"/>
        </w:rPr>
        <w:t>,</w:t>
      </w:r>
      <w:r w:rsidR="00774805" w:rsidRPr="00CE0D7F">
        <w:rPr>
          <w:color w:val="auto"/>
          <w:lang w:val="de-DE"/>
        </w:rPr>
        <w:t xml:space="preserve"> univerzitet ima i svoj intranet preko koga studenti i nastavnici mogu pristupiti brojnim resursima kao što su: </w:t>
      </w:r>
      <w:r w:rsidR="00EF7A5D" w:rsidRPr="00CE0D7F">
        <w:rPr>
          <w:color w:val="auto"/>
          <w:lang w:val="de-DE"/>
        </w:rPr>
        <w:t>bibliotečki katalozi,</w:t>
      </w:r>
      <w:r w:rsidR="00011856" w:rsidRPr="00CE0D7F">
        <w:rPr>
          <w:color w:val="auto"/>
          <w:lang w:val="de-DE"/>
        </w:rPr>
        <w:t xml:space="preserve"> baz</w:t>
      </w:r>
      <w:r w:rsidR="00E35E79" w:rsidRPr="00CE0D7F">
        <w:rPr>
          <w:color w:val="auto"/>
          <w:lang w:val="de-DE"/>
        </w:rPr>
        <w:t>a</w:t>
      </w:r>
      <w:r w:rsidR="00011856" w:rsidRPr="00CE0D7F">
        <w:rPr>
          <w:color w:val="auto"/>
          <w:lang w:val="de-DE"/>
        </w:rPr>
        <w:t xml:space="preserve"> doktorskih teza, najnovij</w:t>
      </w:r>
      <w:r w:rsidR="00D04777">
        <w:rPr>
          <w:color w:val="auto"/>
          <w:lang w:val="de-DE"/>
        </w:rPr>
        <w:t>e</w:t>
      </w:r>
      <w:r w:rsidR="00011856" w:rsidRPr="00CE0D7F">
        <w:rPr>
          <w:color w:val="auto"/>
          <w:lang w:val="de-DE"/>
        </w:rPr>
        <w:t xml:space="preserve"> vesti sa univerziteta, </w:t>
      </w:r>
      <w:r w:rsidR="00EF7A5D" w:rsidRPr="00CE0D7F">
        <w:rPr>
          <w:color w:val="auto"/>
          <w:lang w:val="de-DE"/>
        </w:rPr>
        <w:t xml:space="preserve"> najnovije informacije u vezi sa ispitima, ispitnim rokovima, interni resursi (npr. primeri ispita sa prethodnih godina)</w:t>
      </w:r>
      <w:r w:rsidR="00897AD8" w:rsidRPr="00CE0D7F">
        <w:rPr>
          <w:color w:val="auto"/>
          <w:lang w:val="de-DE"/>
        </w:rPr>
        <w:t>, moodl platformi</w:t>
      </w:r>
      <w:r w:rsidR="00394712" w:rsidRPr="00CE0D7F">
        <w:rPr>
          <w:color w:val="auto"/>
          <w:lang w:val="de-DE"/>
        </w:rPr>
        <w:t xml:space="preserve"> i sl.</w:t>
      </w:r>
      <w:r w:rsidR="002D6B2E" w:rsidRPr="00CE0D7F">
        <w:rPr>
          <w:color w:val="auto"/>
          <w:lang w:val="de-DE"/>
        </w:rPr>
        <w:t xml:space="preserve"> Osim toga, univerzitet ima </w:t>
      </w:r>
      <w:r w:rsidR="00897AD8" w:rsidRPr="00CE0D7F">
        <w:rPr>
          <w:color w:val="auto"/>
          <w:lang w:val="de-DE"/>
        </w:rPr>
        <w:t>i brojne magazine. Neki od njih su sledeći: „</w:t>
      </w:r>
      <w:r w:rsidR="00897AD8" w:rsidRPr="00CE0D7F">
        <w:rPr>
          <w:i/>
          <w:color w:val="auto"/>
          <w:lang w:val="de-DE"/>
        </w:rPr>
        <w:t>Imapct</w:t>
      </w:r>
      <w:r w:rsidR="00897AD8" w:rsidRPr="00CE0D7F">
        <w:rPr>
          <w:color w:val="auto"/>
          <w:lang w:val="de-DE"/>
        </w:rPr>
        <w:t>“ (studentski magazin), „</w:t>
      </w:r>
      <w:r w:rsidR="00897AD8" w:rsidRPr="00CE0D7F">
        <w:rPr>
          <w:i/>
          <w:color w:val="auto"/>
          <w:lang w:val="de-DE"/>
        </w:rPr>
        <w:t>On</w:t>
      </w:r>
      <w:r w:rsidR="00897AD8" w:rsidRPr="00CE0D7F">
        <w:rPr>
          <w:color w:val="auto"/>
          <w:lang w:val="de-DE"/>
        </w:rPr>
        <w:t>“ (magazin koj</w:t>
      </w:r>
      <w:r w:rsidR="0028207B" w:rsidRPr="00CE0D7F">
        <w:rPr>
          <w:color w:val="auto"/>
          <w:lang w:val="de-DE"/>
        </w:rPr>
        <w:t>i prati umetnička dešavanja na u</w:t>
      </w:r>
      <w:r w:rsidR="00897AD8" w:rsidRPr="00CE0D7F">
        <w:rPr>
          <w:color w:val="auto"/>
          <w:lang w:val="de-DE"/>
        </w:rPr>
        <w:t>niverzitetu – koncerti i predstave), „</w:t>
      </w:r>
      <w:r w:rsidR="00897AD8" w:rsidRPr="00CE0D7F">
        <w:rPr>
          <w:i/>
          <w:color w:val="auto"/>
          <w:lang w:val="de-DE"/>
        </w:rPr>
        <w:t>Alumni exchange</w:t>
      </w:r>
      <w:r w:rsidR="00897AD8" w:rsidRPr="00CE0D7F">
        <w:rPr>
          <w:color w:val="auto"/>
          <w:lang w:val="de-DE"/>
        </w:rPr>
        <w:t xml:space="preserve">“ (koji prati </w:t>
      </w:r>
      <w:r w:rsidR="0028207B" w:rsidRPr="00CE0D7F">
        <w:rPr>
          <w:color w:val="auto"/>
          <w:lang w:val="de-DE"/>
        </w:rPr>
        <w:t>aktivnosti bivših studenata), kao i brojni magazini koji su vezani za razvoj karijere studenata u različitim profesionalnim oblstima.</w:t>
      </w:r>
    </w:p>
    <w:p w:rsidR="00D540B8" w:rsidRPr="00CE0D7F" w:rsidRDefault="00EF7A5D" w:rsidP="00267BE8">
      <w:pPr>
        <w:pStyle w:val="Default"/>
        <w:ind w:firstLine="720"/>
        <w:jc w:val="both"/>
        <w:rPr>
          <w:color w:val="auto"/>
          <w:lang w:val="de-DE"/>
        </w:rPr>
      </w:pPr>
      <w:r w:rsidRPr="00CE0D7F">
        <w:rPr>
          <w:color w:val="auto"/>
          <w:lang w:val="de-DE"/>
        </w:rPr>
        <w:t xml:space="preserve"> </w:t>
      </w:r>
      <w:r w:rsidR="00806DB9" w:rsidRPr="00CE0D7F">
        <w:rPr>
          <w:color w:val="auto"/>
          <w:lang w:val="de-DE"/>
        </w:rPr>
        <w:t xml:space="preserve">Univerzitet je prepoznatljiv i po jakoj studentskoj uniji koja </w:t>
      </w:r>
      <w:r w:rsidRPr="00CE0D7F">
        <w:rPr>
          <w:color w:val="auto"/>
          <w:lang w:val="de-DE"/>
        </w:rPr>
        <w:t>se takođe</w:t>
      </w:r>
      <w:r w:rsidR="00806DB9" w:rsidRPr="00CE0D7F">
        <w:rPr>
          <w:color w:val="auto"/>
          <w:lang w:val="de-DE"/>
        </w:rPr>
        <w:t xml:space="preserve"> stara o kvalitetu života studenata kroz organizaciju njihovih aktivnosti (sportske aktivnosti,</w:t>
      </w:r>
      <w:r w:rsidR="0028207B" w:rsidRPr="00CE0D7F">
        <w:rPr>
          <w:color w:val="auto"/>
          <w:lang w:val="de-DE"/>
        </w:rPr>
        <w:t xml:space="preserve"> umetnički performansi, izložbe i</w:t>
      </w:r>
      <w:r w:rsidR="00806DB9" w:rsidRPr="00CE0D7F">
        <w:rPr>
          <w:color w:val="auto"/>
          <w:lang w:val="de-DE"/>
        </w:rPr>
        <w:t xml:space="preserve"> predstave čiji su glavni</w:t>
      </w:r>
      <w:r w:rsidR="0028207B" w:rsidRPr="00CE0D7F">
        <w:rPr>
          <w:color w:val="auto"/>
          <w:lang w:val="de-DE"/>
        </w:rPr>
        <w:t xml:space="preserve"> kreatori i</w:t>
      </w:r>
      <w:r w:rsidR="00806DB9" w:rsidRPr="00CE0D7F">
        <w:rPr>
          <w:color w:val="auto"/>
          <w:lang w:val="de-DE"/>
        </w:rPr>
        <w:t xml:space="preserve"> akteri studenti), kao i </w:t>
      </w:r>
      <w:r w:rsidR="00697F59" w:rsidRPr="00CE0D7F">
        <w:rPr>
          <w:color w:val="auto"/>
          <w:lang w:val="de-DE"/>
        </w:rPr>
        <w:t>socijalizacij</w:t>
      </w:r>
      <w:r w:rsidR="00E35E79" w:rsidRPr="00CE0D7F">
        <w:rPr>
          <w:color w:val="auto"/>
          <w:lang w:val="de-DE"/>
        </w:rPr>
        <w:t>i</w:t>
      </w:r>
      <w:r w:rsidR="00697F59" w:rsidRPr="00CE0D7F">
        <w:rPr>
          <w:color w:val="auto"/>
          <w:lang w:val="de-DE"/>
        </w:rPr>
        <w:t xml:space="preserve"> brucoša (organizovanje obilaska kampusa</w:t>
      </w:r>
      <w:r w:rsidR="00D540B8" w:rsidRPr="00CE0D7F">
        <w:rPr>
          <w:color w:val="auto"/>
          <w:lang w:val="de-DE"/>
        </w:rPr>
        <w:t>, ispomoć starijih studenata brucošima).</w:t>
      </w:r>
      <w:r w:rsidR="0028207B" w:rsidRPr="00CE0D7F">
        <w:rPr>
          <w:color w:val="auto"/>
          <w:lang w:val="de-DE"/>
        </w:rPr>
        <w:t xml:space="preserve"> Aktivnosti studenata </w:t>
      </w:r>
      <w:r w:rsidR="003E3317" w:rsidRPr="00CE0D7F">
        <w:rPr>
          <w:color w:val="auto"/>
          <w:lang w:val="de-DE"/>
        </w:rPr>
        <w:t xml:space="preserve">koji su uključeni u socijalizaciju brucoša i informisanje budućih studenata su mentorisane i kontrolisane od strane obučenih savetnika i osoblja fakulteta. </w:t>
      </w:r>
      <w:r w:rsidR="00D04777">
        <w:rPr>
          <w:color w:val="auto"/>
          <w:lang w:val="de-DE"/>
        </w:rPr>
        <w:t>B</w:t>
      </w:r>
      <w:r w:rsidR="003E3317" w:rsidRPr="00CE0D7F">
        <w:rPr>
          <w:color w:val="auto"/>
          <w:lang w:val="de-DE"/>
        </w:rPr>
        <w:t>esprekorn</w:t>
      </w:r>
      <w:r w:rsidR="00D04777">
        <w:rPr>
          <w:color w:val="auto"/>
          <w:lang w:val="de-DE"/>
        </w:rPr>
        <w:t>a</w:t>
      </w:r>
      <w:r w:rsidR="003E3317" w:rsidRPr="00CE0D7F">
        <w:rPr>
          <w:color w:val="auto"/>
          <w:lang w:val="de-DE"/>
        </w:rPr>
        <w:t xml:space="preserve"> </w:t>
      </w:r>
      <w:r w:rsidR="00D04777">
        <w:rPr>
          <w:color w:val="auto"/>
          <w:lang w:val="de-DE"/>
        </w:rPr>
        <w:t>organizacija rada</w:t>
      </w:r>
      <w:r w:rsidR="003E3317" w:rsidRPr="00CE0D7F">
        <w:rPr>
          <w:color w:val="auto"/>
          <w:lang w:val="de-DE"/>
        </w:rPr>
        <w:t xml:space="preserve"> univerziteta omoguć</w:t>
      </w:r>
      <w:r w:rsidR="00D04777">
        <w:rPr>
          <w:color w:val="auto"/>
          <w:lang w:val="de-DE"/>
        </w:rPr>
        <w:t>ena je time</w:t>
      </w:r>
      <w:r w:rsidR="003E3317" w:rsidRPr="00CE0D7F">
        <w:rPr>
          <w:color w:val="auto"/>
          <w:lang w:val="de-DE"/>
        </w:rPr>
        <w:t xml:space="preserve"> </w:t>
      </w:r>
      <w:r w:rsidR="00D04777">
        <w:rPr>
          <w:color w:val="auto"/>
          <w:lang w:val="de-DE"/>
        </w:rPr>
        <w:t>što</w:t>
      </w:r>
      <w:r w:rsidR="003E3317" w:rsidRPr="00CE0D7F">
        <w:rPr>
          <w:color w:val="auto"/>
          <w:lang w:val="de-DE"/>
        </w:rPr>
        <w:t xml:space="preserve"> univerzitet zapošljava veliki broj savetnika i osoblja kojima je primarni zadatak pomoć</w:t>
      </w:r>
      <w:r w:rsidR="00D04777">
        <w:rPr>
          <w:color w:val="auto"/>
          <w:lang w:val="de-DE"/>
        </w:rPr>
        <w:t xml:space="preserve"> i podrška</w:t>
      </w:r>
      <w:r w:rsidR="003E3317" w:rsidRPr="00CE0D7F">
        <w:rPr>
          <w:color w:val="auto"/>
          <w:lang w:val="de-DE"/>
        </w:rPr>
        <w:t xml:space="preserve"> nastavnicima i studentima u organizovanju rada i života na univerzitetu.</w:t>
      </w:r>
      <w:r w:rsidR="0028207B" w:rsidRPr="00CE0D7F">
        <w:rPr>
          <w:color w:val="auto"/>
          <w:lang w:val="de-DE"/>
        </w:rPr>
        <w:t xml:space="preserve"> </w:t>
      </w:r>
      <w:r w:rsidR="00394712" w:rsidRPr="00CE0D7F">
        <w:rPr>
          <w:color w:val="auto"/>
          <w:lang w:val="de-DE"/>
        </w:rPr>
        <w:t>Stariji studenti su sa nastavnicima uključeni u manifestaciju koja se zove “</w:t>
      </w:r>
      <w:r w:rsidR="00394712" w:rsidRPr="00CE0D7F">
        <w:rPr>
          <w:i/>
          <w:color w:val="auto"/>
          <w:lang w:val="de-DE"/>
        </w:rPr>
        <w:t>May fest</w:t>
      </w:r>
      <w:r w:rsidR="00394712" w:rsidRPr="00CE0D7F">
        <w:rPr>
          <w:color w:val="auto"/>
          <w:lang w:val="de-DE"/>
        </w:rPr>
        <w:t>”</w:t>
      </w:r>
      <w:r w:rsidR="002D6B2E" w:rsidRPr="00CE0D7F">
        <w:rPr>
          <w:color w:val="auto"/>
          <w:lang w:val="de-DE"/>
        </w:rPr>
        <w:t xml:space="preserve"> </w:t>
      </w:r>
      <w:r w:rsidR="00E35E79" w:rsidRPr="00CE0D7F">
        <w:rPr>
          <w:color w:val="auto"/>
          <w:lang w:val="de-DE"/>
        </w:rPr>
        <w:t>na</w:t>
      </w:r>
      <w:r w:rsidR="002D6B2E" w:rsidRPr="00CE0D7F">
        <w:rPr>
          <w:color w:val="auto"/>
          <w:lang w:val="de-DE"/>
        </w:rPr>
        <w:t xml:space="preserve"> kojoj univerzitet otvara svoja vrata lokalnoj zajednici predstavljući svoje aktivnosti kroz različita predavanja, izložbe</w:t>
      </w:r>
      <w:r w:rsidR="003E3317" w:rsidRPr="00CE0D7F">
        <w:rPr>
          <w:color w:val="auto"/>
          <w:lang w:val="de-DE"/>
        </w:rPr>
        <w:t>,</w:t>
      </w:r>
      <w:r w:rsidR="002D6B2E" w:rsidRPr="00CE0D7F">
        <w:rPr>
          <w:color w:val="auto"/>
          <w:lang w:val="de-DE"/>
        </w:rPr>
        <w:t xml:space="preserve"> radionice, sajamski program i sl.</w:t>
      </w:r>
      <w:r w:rsidR="00394712" w:rsidRPr="00CE0D7F">
        <w:rPr>
          <w:color w:val="auto"/>
          <w:lang w:val="de-DE"/>
        </w:rPr>
        <w:t xml:space="preserve"> </w:t>
      </w:r>
      <w:r w:rsidRPr="00CE0D7F">
        <w:rPr>
          <w:color w:val="auto"/>
          <w:lang w:val="de-DE"/>
        </w:rPr>
        <w:t xml:space="preserve"> Univerzitet ima svoje galerije</w:t>
      </w:r>
      <w:r w:rsidR="00897AD8" w:rsidRPr="00CE0D7F">
        <w:rPr>
          <w:color w:val="auto"/>
          <w:lang w:val="de-DE"/>
        </w:rPr>
        <w:t xml:space="preserve"> i svoje pozorište, a</w:t>
      </w:r>
      <w:r w:rsidRPr="00CE0D7F">
        <w:rPr>
          <w:color w:val="auto"/>
          <w:lang w:val="de-DE"/>
        </w:rPr>
        <w:t xml:space="preserve"> </w:t>
      </w:r>
      <w:r w:rsidR="00D04777">
        <w:rPr>
          <w:color w:val="auto"/>
          <w:lang w:val="de-DE"/>
        </w:rPr>
        <w:t>ujedno</w:t>
      </w:r>
      <w:r w:rsidR="00D540B8" w:rsidRPr="00CE0D7F">
        <w:rPr>
          <w:color w:val="auto"/>
          <w:lang w:val="de-DE"/>
        </w:rPr>
        <w:t xml:space="preserve"> je i jedan od retkih</w:t>
      </w:r>
      <w:r w:rsidR="0028207B" w:rsidRPr="00CE0D7F">
        <w:rPr>
          <w:color w:val="auto"/>
          <w:lang w:val="de-DE"/>
        </w:rPr>
        <w:t xml:space="preserve"> u Velikoj Britaniji</w:t>
      </w:r>
      <w:r w:rsidR="00D540B8" w:rsidRPr="00CE0D7F">
        <w:rPr>
          <w:color w:val="auto"/>
          <w:lang w:val="de-DE"/>
        </w:rPr>
        <w:t xml:space="preserve"> koji ima svoje autobuse “</w:t>
      </w:r>
      <w:r w:rsidR="00D540B8" w:rsidRPr="00D04777">
        <w:rPr>
          <w:i/>
          <w:color w:val="auto"/>
          <w:lang w:val="de-DE"/>
        </w:rPr>
        <w:t>hopper buses</w:t>
      </w:r>
      <w:r w:rsidR="00D540B8" w:rsidRPr="00CE0D7F">
        <w:rPr>
          <w:color w:val="auto"/>
          <w:lang w:val="de-DE"/>
        </w:rPr>
        <w:t>” koji</w:t>
      </w:r>
      <w:r w:rsidR="00D947B8" w:rsidRPr="00CE0D7F">
        <w:rPr>
          <w:color w:val="auto"/>
          <w:lang w:val="de-DE"/>
        </w:rPr>
        <w:t xml:space="preserve"> besplatno</w:t>
      </w:r>
      <w:r w:rsidR="00D540B8" w:rsidRPr="00CE0D7F">
        <w:rPr>
          <w:color w:val="auto"/>
          <w:lang w:val="de-DE"/>
        </w:rPr>
        <w:t xml:space="preserve"> prevoze studente od kampusa do kampusa.</w:t>
      </w:r>
      <w:r w:rsidR="0028207B" w:rsidRPr="00CE0D7F">
        <w:rPr>
          <w:color w:val="auto"/>
          <w:lang w:val="de-DE"/>
        </w:rPr>
        <w:t xml:space="preserve"> Inače, </w:t>
      </w:r>
      <w:r w:rsidR="00D21FA6" w:rsidRPr="00CE0D7F">
        <w:rPr>
          <w:color w:val="auto"/>
          <w:lang w:val="de-DE"/>
        </w:rPr>
        <w:t>u</w:t>
      </w:r>
      <w:r w:rsidR="0028207B" w:rsidRPr="00CE0D7F">
        <w:rPr>
          <w:color w:val="auto"/>
          <w:lang w:val="de-DE"/>
        </w:rPr>
        <w:t>niverzitet ima i sporazum sa lokalnim pr</w:t>
      </w:r>
      <w:r w:rsidR="006F295F" w:rsidRPr="00CE0D7F">
        <w:rPr>
          <w:color w:val="auto"/>
          <w:lang w:val="de-DE"/>
        </w:rPr>
        <w:t>evoznicima (autobus</w:t>
      </w:r>
      <w:r w:rsidR="00E35E79" w:rsidRPr="00CE0D7F">
        <w:rPr>
          <w:color w:val="auto"/>
          <w:lang w:val="de-DE"/>
        </w:rPr>
        <w:t>ki</w:t>
      </w:r>
      <w:r w:rsidR="006F295F" w:rsidRPr="00CE0D7F">
        <w:rPr>
          <w:color w:val="auto"/>
          <w:lang w:val="de-DE"/>
        </w:rPr>
        <w:t xml:space="preserve"> i taksi prevoznici</w:t>
      </w:r>
      <w:r w:rsidR="00D21FA6" w:rsidRPr="00CE0D7F">
        <w:rPr>
          <w:color w:val="auto"/>
          <w:lang w:val="de-DE"/>
        </w:rPr>
        <w:t>) o posebnim popustima</w:t>
      </w:r>
      <w:r w:rsidR="006F295F" w:rsidRPr="00CE0D7F">
        <w:rPr>
          <w:color w:val="auto"/>
          <w:lang w:val="de-DE"/>
        </w:rPr>
        <w:t xml:space="preserve"> za studente</w:t>
      </w:r>
      <w:r w:rsidR="00D04777">
        <w:rPr>
          <w:color w:val="auto"/>
          <w:lang w:val="de-DE"/>
        </w:rPr>
        <w:t xml:space="preserve"> i osoblje univerziteta</w:t>
      </w:r>
      <w:r w:rsidR="006F295F" w:rsidRPr="00CE0D7F">
        <w:rPr>
          <w:color w:val="auto"/>
          <w:lang w:val="de-DE"/>
        </w:rPr>
        <w:t>.</w:t>
      </w:r>
    </w:p>
    <w:p w:rsidR="00BB4BE8" w:rsidRPr="00CE0D7F" w:rsidRDefault="00D540B8" w:rsidP="00267BE8">
      <w:pPr>
        <w:pStyle w:val="Default"/>
        <w:ind w:firstLine="720"/>
        <w:jc w:val="both"/>
        <w:rPr>
          <w:color w:val="auto"/>
          <w:lang w:val="de-DE"/>
        </w:rPr>
      </w:pPr>
      <w:r w:rsidRPr="00CE0D7F">
        <w:rPr>
          <w:color w:val="auto"/>
          <w:lang w:val="de-DE"/>
        </w:rPr>
        <w:t xml:space="preserve">Univerzitet </w:t>
      </w:r>
      <w:r w:rsidR="00E35E79" w:rsidRPr="00CE0D7F">
        <w:rPr>
          <w:color w:val="auto"/>
          <w:lang w:val="de-DE"/>
        </w:rPr>
        <w:t>održava</w:t>
      </w:r>
      <w:r w:rsidRPr="00CE0D7F">
        <w:rPr>
          <w:color w:val="auto"/>
          <w:lang w:val="de-DE"/>
        </w:rPr>
        <w:t xml:space="preserve"> </w:t>
      </w:r>
      <w:r w:rsidR="00E35E79" w:rsidRPr="00CE0D7F">
        <w:rPr>
          <w:color w:val="auto"/>
          <w:lang w:val="de-DE"/>
        </w:rPr>
        <w:t>konstantnu i</w:t>
      </w:r>
      <w:r w:rsidRPr="00CE0D7F">
        <w:rPr>
          <w:color w:val="auto"/>
          <w:lang w:val="de-DE"/>
        </w:rPr>
        <w:t xml:space="preserve"> jaku vezu sa bivšim studentima (alumni) čije aktivnosti prati preko specijalnog izdanja jednog od brojnih univerzitetskih magazina („</w:t>
      </w:r>
      <w:r w:rsidRPr="00CE0D7F">
        <w:rPr>
          <w:i/>
          <w:color w:val="auto"/>
          <w:lang w:val="de-DE"/>
        </w:rPr>
        <w:t>Alumni exchange</w:t>
      </w:r>
      <w:r w:rsidRPr="00CE0D7F">
        <w:rPr>
          <w:color w:val="auto"/>
          <w:lang w:val="de-DE"/>
        </w:rPr>
        <w:t>“). Osim toga</w:t>
      </w:r>
      <w:r w:rsidR="006F295F" w:rsidRPr="00CE0D7F">
        <w:rPr>
          <w:color w:val="auto"/>
          <w:lang w:val="de-DE"/>
        </w:rPr>
        <w:t>,</w:t>
      </w:r>
      <w:r w:rsidR="0028207B" w:rsidRPr="00CE0D7F">
        <w:rPr>
          <w:color w:val="auto"/>
          <w:lang w:val="de-DE"/>
        </w:rPr>
        <w:t xml:space="preserve"> </w:t>
      </w:r>
      <w:r w:rsidR="006F295F" w:rsidRPr="00CE0D7F">
        <w:rPr>
          <w:color w:val="auto"/>
          <w:lang w:val="de-DE"/>
        </w:rPr>
        <w:t>u</w:t>
      </w:r>
      <w:r w:rsidR="0028207B" w:rsidRPr="00CE0D7F">
        <w:rPr>
          <w:color w:val="auto"/>
          <w:lang w:val="de-DE"/>
        </w:rPr>
        <w:t>niverzitet</w:t>
      </w:r>
      <w:r w:rsidRPr="00CE0D7F">
        <w:rPr>
          <w:color w:val="auto"/>
          <w:lang w:val="de-DE"/>
        </w:rPr>
        <w:t xml:space="preserve"> organizuje redovne susrete</w:t>
      </w:r>
      <w:r w:rsidR="0028207B" w:rsidRPr="00CE0D7F">
        <w:rPr>
          <w:color w:val="auto"/>
          <w:lang w:val="de-DE"/>
        </w:rPr>
        <w:t xml:space="preserve"> sadašnjih</w:t>
      </w:r>
      <w:r w:rsidRPr="00CE0D7F">
        <w:rPr>
          <w:color w:val="auto"/>
          <w:lang w:val="de-DE"/>
        </w:rPr>
        <w:t xml:space="preserve"> studenata sa bivšim studentima, sada uspešnim poslovnim ljudima i profesionalcima. Ono što univerzitet čini posebno ponosnim </w:t>
      </w:r>
      <w:r w:rsidR="00D947B8" w:rsidRPr="00CE0D7F">
        <w:rPr>
          <w:color w:val="auto"/>
          <w:lang w:val="de-DE"/>
        </w:rPr>
        <w:t xml:space="preserve">su dva nobelovca, </w:t>
      </w:r>
      <w:r w:rsidR="00774805" w:rsidRPr="00CE0D7F">
        <w:rPr>
          <w:color w:val="auto"/>
          <w:lang w:val="de-DE"/>
        </w:rPr>
        <w:t xml:space="preserve">koji su ujedno i </w:t>
      </w:r>
      <w:r w:rsidR="00CC4D4B">
        <w:rPr>
          <w:color w:val="auto"/>
          <w:lang w:val="de-DE"/>
        </w:rPr>
        <w:t>sadašnji i bivši</w:t>
      </w:r>
      <w:r w:rsidR="00D947B8" w:rsidRPr="00CE0D7F">
        <w:rPr>
          <w:color w:val="auto"/>
          <w:lang w:val="de-DE"/>
        </w:rPr>
        <w:t xml:space="preserve"> nastavnici na ovom univerzitetu, a to su: ser Peter Mansfield (nobelova nagrada za medicinu</w:t>
      </w:r>
      <w:r w:rsidR="002D6B2E" w:rsidRPr="00CE0D7F">
        <w:rPr>
          <w:color w:val="auto"/>
          <w:lang w:val="de-DE"/>
        </w:rPr>
        <w:t>)</w:t>
      </w:r>
      <w:r w:rsidR="00D947B8" w:rsidRPr="00CE0D7F">
        <w:rPr>
          <w:color w:val="auto"/>
          <w:lang w:val="de-DE"/>
        </w:rPr>
        <w:t xml:space="preserve"> i profesor Clive Granger (nobelova nagrada za ekonomiju).  Univerzitet je zbog postignuća njegovih istraživača </w:t>
      </w:r>
      <w:r w:rsidR="00774805" w:rsidRPr="00CE0D7F">
        <w:rPr>
          <w:color w:val="auto"/>
          <w:lang w:val="de-DE"/>
        </w:rPr>
        <w:t xml:space="preserve">i nastavnog kvaliteta svrstan na 75. mesto na listi svetskih univerziteta, a sedmo mesto na listi najuspešnijih univerziteta u Velikoj Britaniji. </w:t>
      </w:r>
    </w:p>
    <w:p w:rsidR="00774805" w:rsidRPr="00E35E79" w:rsidRDefault="002D6B2E" w:rsidP="002D6B2E">
      <w:pPr>
        <w:pStyle w:val="Default"/>
        <w:jc w:val="both"/>
        <w:rPr>
          <w:b/>
          <w:i/>
          <w:color w:val="auto"/>
          <w:lang w:val="de-DE"/>
        </w:rPr>
      </w:pPr>
      <w:r w:rsidRPr="00E35E79">
        <w:rPr>
          <w:b/>
          <w:i/>
          <w:color w:val="auto"/>
          <w:lang w:val="de-DE"/>
        </w:rPr>
        <w:lastRenderedPageBreak/>
        <w:t xml:space="preserve">O </w:t>
      </w:r>
      <w:r w:rsidR="001106AA" w:rsidRPr="00E35E79">
        <w:rPr>
          <w:b/>
          <w:i/>
          <w:lang w:val="de-DE"/>
        </w:rPr>
        <w:t>Grupi za psihologiju rada</w:t>
      </w:r>
    </w:p>
    <w:p w:rsidR="00FA098F" w:rsidRPr="00E35E79" w:rsidRDefault="00FA098F" w:rsidP="00472ACC">
      <w:pPr>
        <w:pStyle w:val="Default"/>
        <w:rPr>
          <w:color w:val="auto"/>
          <w:sz w:val="23"/>
          <w:szCs w:val="23"/>
          <w:lang w:val="de-DE"/>
        </w:rPr>
      </w:pPr>
    </w:p>
    <w:p w:rsidR="00D80C00" w:rsidRPr="00CE0D7F" w:rsidRDefault="0028207B" w:rsidP="006F295F">
      <w:pPr>
        <w:pStyle w:val="Default"/>
        <w:jc w:val="both"/>
        <w:rPr>
          <w:color w:val="auto"/>
          <w:lang w:val="de-DE"/>
        </w:rPr>
      </w:pPr>
      <w:r w:rsidRPr="00E35E79">
        <w:rPr>
          <w:color w:val="auto"/>
          <w:lang w:val="de-DE"/>
        </w:rPr>
        <w:t xml:space="preserve"> </w:t>
      </w:r>
      <w:r w:rsidR="006F295F" w:rsidRPr="00E35E79">
        <w:rPr>
          <w:color w:val="auto"/>
          <w:lang w:val="de-DE"/>
        </w:rPr>
        <w:tab/>
      </w:r>
      <w:r w:rsidR="00D80C00" w:rsidRPr="00E35E79">
        <w:rPr>
          <w:color w:val="auto"/>
          <w:lang w:val="de-DE"/>
        </w:rPr>
        <w:t>Istraživačka g</w:t>
      </w:r>
      <w:r w:rsidR="004F46F0" w:rsidRPr="00E35E79">
        <w:rPr>
          <w:color w:val="auto"/>
          <w:lang w:val="de-DE"/>
        </w:rPr>
        <w:t>rupa za psihologiju rada</w:t>
      </w:r>
      <w:r w:rsidR="00D80C00" w:rsidRPr="00E35E79">
        <w:rPr>
          <w:color w:val="auto"/>
          <w:lang w:val="de-DE"/>
        </w:rPr>
        <w:t xml:space="preserve"> (</w:t>
      </w:r>
      <w:r w:rsidR="00E35E79" w:rsidRPr="00E35E79">
        <w:rPr>
          <w:color w:val="auto"/>
          <w:lang w:val="de-DE"/>
        </w:rPr>
        <w:t>“</w:t>
      </w:r>
      <w:r w:rsidR="00D80C00" w:rsidRPr="00E35E79">
        <w:rPr>
          <w:i/>
          <w:lang w:val="de-DE"/>
        </w:rPr>
        <w:t xml:space="preserve">Work </w:t>
      </w:r>
      <w:r w:rsidR="004B7759">
        <w:rPr>
          <w:i/>
          <w:lang w:val="de-DE"/>
        </w:rPr>
        <w:t>Psychology Research G</w:t>
      </w:r>
      <w:r w:rsidR="00D80C00" w:rsidRPr="00E35E79">
        <w:rPr>
          <w:i/>
          <w:lang w:val="de-DE"/>
        </w:rPr>
        <w:t>roup</w:t>
      </w:r>
      <w:r w:rsidR="00E35E79">
        <w:rPr>
          <w:lang w:val="de-DE"/>
        </w:rPr>
        <w:t>“</w:t>
      </w:r>
      <w:r w:rsidR="00D80C00" w:rsidRPr="00E35E79">
        <w:rPr>
          <w:color w:val="auto"/>
          <w:lang w:val="de-DE"/>
        </w:rPr>
        <w:t>)</w:t>
      </w:r>
      <w:r w:rsidR="004F46F0" w:rsidRPr="00E35E79">
        <w:rPr>
          <w:color w:val="auto"/>
          <w:lang w:val="de-DE"/>
        </w:rPr>
        <w:t xml:space="preserve"> </w:t>
      </w:r>
      <w:r w:rsidR="004B7759">
        <w:rPr>
          <w:color w:val="auto"/>
          <w:lang w:val="de-DE"/>
        </w:rPr>
        <w:t>pripada</w:t>
      </w:r>
      <w:r w:rsidR="006F295F" w:rsidRPr="00E35E79">
        <w:rPr>
          <w:color w:val="auto"/>
          <w:lang w:val="de-DE"/>
        </w:rPr>
        <w:t xml:space="preserve"> </w:t>
      </w:r>
      <w:r w:rsidR="004B7759">
        <w:rPr>
          <w:color w:val="auto"/>
          <w:lang w:val="de-DE"/>
        </w:rPr>
        <w:t xml:space="preserve"> departmanu</w:t>
      </w:r>
      <w:r w:rsidR="006F295F" w:rsidRPr="00E35E79">
        <w:rPr>
          <w:color w:val="auto"/>
          <w:lang w:val="de-DE"/>
        </w:rPr>
        <w:t xml:space="preserve"> za psihijatriju i primenjenu psihologiju. </w:t>
      </w:r>
      <w:r w:rsidR="006F295F" w:rsidRPr="00CE0D7F">
        <w:rPr>
          <w:color w:val="auto"/>
          <w:lang w:val="de-DE"/>
        </w:rPr>
        <w:t>Ovaj departman okuplja psihijatre, kliničke psihologe, forenzičke psihologe, neuropsihologe, zdravstvene psihologe i psihologe rada.  Departman obezbeđuje nastavu na nivou master i doktorskih studija u okviru različitih programa, ali se ujedno bavi i i</w:t>
      </w:r>
      <w:r w:rsidR="00FF4977" w:rsidRPr="00CE0D7F">
        <w:rPr>
          <w:color w:val="auto"/>
          <w:lang w:val="de-DE"/>
        </w:rPr>
        <w:t>straživačkom delatnošću</w:t>
      </w:r>
      <w:r w:rsidR="006F295F" w:rsidRPr="00CE0D7F">
        <w:rPr>
          <w:color w:val="auto"/>
          <w:lang w:val="de-DE"/>
        </w:rPr>
        <w:t>. Nastavni programi iz oblasti psihologije koje nudi</w:t>
      </w:r>
      <w:r w:rsidR="00D80C00" w:rsidRPr="00CE0D7F">
        <w:rPr>
          <w:color w:val="auto"/>
          <w:lang w:val="de-DE"/>
        </w:rPr>
        <w:t xml:space="preserve"> ovaj departman </w:t>
      </w:r>
      <w:r w:rsidR="00A9733F" w:rsidRPr="00CE0D7F">
        <w:rPr>
          <w:color w:val="auto"/>
          <w:lang w:val="de-DE"/>
        </w:rPr>
        <w:t>pokrivaju oblasti mentalnog zdravlja,</w:t>
      </w:r>
      <w:r w:rsidR="0084319F" w:rsidRPr="00CE0D7F">
        <w:rPr>
          <w:color w:val="auto"/>
          <w:lang w:val="de-DE"/>
        </w:rPr>
        <w:t xml:space="preserve"> psihijatrije,</w:t>
      </w:r>
      <w:r w:rsidR="00A9733F" w:rsidRPr="00CE0D7F">
        <w:rPr>
          <w:color w:val="auto"/>
          <w:lang w:val="de-DE"/>
        </w:rPr>
        <w:t xml:space="preserve"> psihologije u menadžemntu, psihologije rada i organizacije, </w:t>
      </w:r>
      <w:r w:rsidR="0084319F" w:rsidRPr="00CE0D7F">
        <w:rPr>
          <w:color w:val="auto"/>
          <w:lang w:val="de-DE"/>
        </w:rPr>
        <w:t xml:space="preserve">zdravstvene psihologije, psihologije zdravlja na radu, kliničke psihologije i forenzičke psihologije. Departman okuplja i devet istraživačkih grupa </w:t>
      </w:r>
      <w:r w:rsidR="004B7759" w:rsidRPr="00CE0D7F">
        <w:rPr>
          <w:color w:val="auto"/>
          <w:lang w:val="de-DE"/>
        </w:rPr>
        <w:t>od</w:t>
      </w:r>
      <w:r w:rsidR="0084319F" w:rsidRPr="00CE0D7F">
        <w:rPr>
          <w:color w:val="auto"/>
          <w:lang w:val="de-DE"/>
        </w:rPr>
        <w:t xml:space="preserve"> koji</w:t>
      </w:r>
      <w:r w:rsidR="004B7759" w:rsidRPr="00CE0D7F">
        <w:rPr>
          <w:color w:val="auto"/>
          <w:lang w:val="de-DE"/>
        </w:rPr>
        <w:t>h</w:t>
      </w:r>
      <w:r w:rsidR="00396F22" w:rsidRPr="00CE0D7F">
        <w:rPr>
          <w:color w:val="auto"/>
          <w:lang w:val="de-DE"/>
        </w:rPr>
        <w:t xml:space="preserve"> se dve bave psihologijom rada -</w:t>
      </w:r>
      <w:r w:rsidR="0084319F" w:rsidRPr="00CE0D7F">
        <w:rPr>
          <w:color w:val="auto"/>
          <w:lang w:val="de-DE"/>
        </w:rPr>
        <w:t xml:space="preserve"> jedna u kojoj sam ja bila gost (</w:t>
      </w:r>
      <w:r w:rsidR="0084319F" w:rsidRPr="00CE0D7F">
        <w:rPr>
          <w:i/>
          <w:color w:val="auto"/>
          <w:lang w:val="de-DE"/>
        </w:rPr>
        <w:t>Istraživačka grupa za psihologiju rada</w:t>
      </w:r>
      <w:r w:rsidR="0084319F" w:rsidRPr="00CE0D7F">
        <w:rPr>
          <w:color w:val="auto"/>
          <w:lang w:val="de-DE"/>
        </w:rPr>
        <w:t>), a druga grupa se bavi organizacionim zdravljem i razvojem (</w:t>
      </w:r>
      <w:r w:rsidR="004B7759" w:rsidRPr="00CE0D7F">
        <w:rPr>
          <w:i/>
          <w:lang w:val="de-DE"/>
        </w:rPr>
        <w:t>Centre for Organizational Health and Development</w:t>
      </w:r>
      <w:r w:rsidR="0084319F" w:rsidRPr="00CE0D7F">
        <w:rPr>
          <w:color w:val="auto"/>
          <w:lang w:val="de-DE"/>
        </w:rPr>
        <w:t>).</w:t>
      </w:r>
      <w:r w:rsidR="00775E4C" w:rsidRPr="00CE0D7F">
        <w:rPr>
          <w:color w:val="auto"/>
          <w:lang w:val="de-DE"/>
        </w:rPr>
        <w:t xml:space="preserve"> </w:t>
      </w:r>
    </w:p>
    <w:p w:rsidR="00775E4C" w:rsidRDefault="00775E4C" w:rsidP="00CC4D4B">
      <w:pPr>
        <w:pStyle w:val="Default"/>
        <w:jc w:val="both"/>
        <w:rPr>
          <w:b/>
          <w:bCs/>
          <w:color w:val="auto"/>
        </w:rPr>
      </w:pPr>
      <w:r w:rsidRPr="00CE0D7F">
        <w:rPr>
          <w:color w:val="auto"/>
          <w:lang w:val="de-DE"/>
        </w:rPr>
        <w:tab/>
        <w:t xml:space="preserve">Glavna misija </w:t>
      </w:r>
      <w:r w:rsidRPr="00CE0D7F">
        <w:rPr>
          <w:i/>
          <w:color w:val="auto"/>
          <w:lang w:val="de-DE"/>
        </w:rPr>
        <w:t>Istraživačke grupe za psihologiju rada</w:t>
      </w:r>
      <w:r w:rsidRPr="00CE0D7F">
        <w:rPr>
          <w:color w:val="auto"/>
          <w:lang w:val="de-DE"/>
        </w:rPr>
        <w:t xml:space="preserve"> je da primenjuje znanja i dostignuća psihologije rada kako bi promovisala efektivne radne prakse i uključila se u rešavanje problema </w:t>
      </w:r>
      <w:r w:rsidR="00396F22" w:rsidRPr="00CE0D7F">
        <w:rPr>
          <w:color w:val="auto"/>
          <w:lang w:val="de-DE"/>
        </w:rPr>
        <w:t xml:space="preserve">na radu. Grupa se stoga bavi istraživanjima problema iz oblasti psihologije rada, izradom politika </w:t>
      </w:r>
      <w:r w:rsidR="00CC4D4B">
        <w:rPr>
          <w:color w:val="auto"/>
          <w:lang w:val="de-DE"/>
        </w:rPr>
        <w:t>za praktično delovanje i prevenciju u okviru</w:t>
      </w:r>
      <w:r w:rsidR="00396F22" w:rsidRPr="00CE0D7F">
        <w:rPr>
          <w:color w:val="auto"/>
          <w:lang w:val="de-DE"/>
        </w:rPr>
        <w:t xml:space="preserve"> ove oblasti i edukacijom budućih psihologa rada. Istraživanja koja se sprovode u okviru ove grupe finansirana su od strane</w:t>
      </w:r>
      <w:r w:rsidR="00D27360" w:rsidRPr="00CE0D7F">
        <w:rPr>
          <w:color w:val="auto"/>
          <w:lang w:val="de-DE"/>
        </w:rPr>
        <w:t xml:space="preserve"> nacionalnih</w:t>
      </w:r>
      <w:r w:rsidR="00396F22" w:rsidRPr="00CE0D7F">
        <w:rPr>
          <w:color w:val="auto"/>
          <w:lang w:val="de-DE"/>
        </w:rPr>
        <w:t xml:space="preserve"> </w:t>
      </w:r>
      <w:r w:rsidR="00D27360" w:rsidRPr="00CE0D7F">
        <w:rPr>
          <w:color w:val="auto"/>
          <w:lang w:val="de-DE"/>
        </w:rPr>
        <w:t xml:space="preserve">istraživačkih saveta (kao što je </w:t>
      </w:r>
      <w:r w:rsidR="004B7759" w:rsidRPr="00CC4D4B">
        <w:rPr>
          <w:color w:val="auto"/>
          <w:lang w:val="de-DE"/>
        </w:rPr>
        <w:t>“</w:t>
      </w:r>
      <w:r w:rsidR="004B7759" w:rsidRPr="00CC4D4B">
        <w:rPr>
          <w:i/>
          <w:color w:val="auto"/>
          <w:lang w:val="de-DE"/>
        </w:rPr>
        <w:t>Economic and Social Research Council</w:t>
      </w:r>
      <w:r w:rsidR="004B7759" w:rsidRPr="00CC4D4B">
        <w:rPr>
          <w:color w:val="auto"/>
          <w:lang w:val="de-DE"/>
        </w:rPr>
        <w:t>”</w:t>
      </w:r>
      <w:r w:rsidR="00D27360" w:rsidRPr="00CC4D4B">
        <w:rPr>
          <w:color w:val="auto"/>
          <w:lang w:val="de-DE"/>
        </w:rPr>
        <w:t>), profesionalnih organizacija i komercijalnog sektora.</w:t>
      </w:r>
      <w:r w:rsidR="00AB3B6E" w:rsidRPr="00CC4D4B">
        <w:rPr>
          <w:color w:val="auto"/>
          <w:lang w:val="de-DE"/>
        </w:rPr>
        <w:t xml:space="preserve"> </w:t>
      </w:r>
      <w:r w:rsidR="00D27360" w:rsidRPr="00AB3B6E">
        <w:rPr>
          <w:color w:val="auto"/>
        </w:rPr>
        <w:t>Takođe,</w:t>
      </w:r>
      <w:r w:rsidR="00AB3B6E" w:rsidRPr="00AB3B6E">
        <w:rPr>
          <w:color w:val="auto"/>
        </w:rPr>
        <w:t xml:space="preserve"> </w:t>
      </w:r>
      <w:r w:rsidR="00D27360" w:rsidRPr="00AB3B6E">
        <w:rPr>
          <w:color w:val="auto"/>
        </w:rPr>
        <w:t>divizija u okviru koje se nalazi ova istraživačka grupa tesno sarađuje sa</w:t>
      </w:r>
      <w:r w:rsidR="00AB3B6E">
        <w:rPr>
          <w:color w:val="auto"/>
        </w:rPr>
        <w:t xml:space="preserve"> lokalnim zdravstvenim centrom</w:t>
      </w:r>
      <w:r w:rsidR="00D27360" w:rsidRPr="00AB3B6E">
        <w:rPr>
          <w:color w:val="auto"/>
        </w:rPr>
        <w:t xml:space="preserve"> </w:t>
      </w:r>
      <w:r w:rsidR="00AB3B6E">
        <w:rPr>
          <w:color w:val="auto"/>
        </w:rPr>
        <w:t>(</w:t>
      </w:r>
      <w:r w:rsidR="004B7759">
        <w:rPr>
          <w:color w:val="auto"/>
        </w:rPr>
        <w:t>“</w:t>
      </w:r>
      <w:r w:rsidR="00AB3B6E" w:rsidRPr="004B7759">
        <w:rPr>
          <w:i/>
          <w:color w:val="auto"/>
        </w:rPr>
        <w:t xml:space="preserve">Nottinghamshire </w:t>
      </w:r>
      <w:r w:rsidR="004B7759" w:rsidRPr="004B7759">
        <w:rPr>
          <w:i/>
          <w:color w:val="auto"/>
        </w:rPr>
        <w:t>H</w:t>
      </w:r>
      <w:r w:rsidR="00AB3B6E" w:rsidRPr="004B7759">
        <w:rPr>
          <w:i/>
          <w:color w:val="auto"/>
        </w:rPr>
        <w:t>ealthcare</w:t>
      </w:r>
      <w:r w:rsidR="004B7759">
        <w:rPr>
          <w:color w:val="auto"/>
        </w:rPr>
        <w:t>”</w:t>
      </w:r>
      <w:r w:rsidR="00AB3B6E">
        <w:rPr>
          <w:color w:val="auto"/>
        </w:rPr>
        <w:t>) sa kojim ostvaruj</w:t>
      </w:r>
      <w:r w:rsidR="00C52997">
        <w:rPr>
          <w:color w:val="auto"/>
        </w:rPr>
        <w:t>e saradnju u pogledu istraživač</w:t>
      </w:r>
      <w:r w:rsidR="00AB3B6E">
        <w:rPr>
          <w:color w:val="auto"/>
        </w:rPr>
        <w:t>kih usluga, ali i praksi</w:t>
      </w:r>
      <w:r w:rsidR="00FF4977">
        <w:rPr>
          <w:color w:val="auto"/>
        </w:rPr>
        <w:t xml:space="preserve"> i edukacija</w:t>
      </w:r>
      <w:r w:rsidR="00AB3B6E">
        <w:rPr>
          <w:color w:val="auto"/>
        </w:rPr>
        <w:t xml:space="preserve"> za studente</w:t>
      </w:r>
      <w:r w:rsidR="00FF4977">
        <w:rPr>
          <w:color w:val="auto"/>
        </w:rPr>
        <w:t xml:space="preserve"> i zdravstveno osoblje</w:t>
      </w:r>
      <w:r w:rsidR="00AB3B6E">
        <w:rPr>
          <w:color w:val="auto"/>
        </w:rPr>
        <w:t xml:space="preserve">. </w:t>
      </w:r>
      <w:r w:rsidR="00AB3B6E" w:rsidRPr="00AB3B6E">
        <w:rPr>
          <w:color w:val="auto"/>
        </w:rPr>
        <w:t xml:space="preserve"> </w:t>
      </w:r>
    </w:p>
    <w:p w:rsidR="00356D4E" w:rsidRDefault="00FF4977" w:rsidP="00FF4977">
      <w:pPr>
        <w:pStyle w:val="Default"/>
        <w:jc w:val="both"/>
      </w:pPr>
      <w:r>
        <w:tab/>
      </w:r>
      <w:r w:rsidRPr="00FF4977">
        <w:rPr>
          <w:color w:val="auto"/>
        </w:rPr>
        <w:t>Istraživačk</w:t>
      </w:r>
      <w:r>
        <w:rPr>
          <w:color w:val="auto"/>
        </w:rPr>
        <w:t>a</w:t>
      </w:r>
      <w:r w:rsidRPr="00FF4977">
        <w:rPr>
          <w:color w:val="auto"/>
        </w:rPr>
        <w:t xml:space="preserve"> grup</w:t>
      </w:r>
      <w:r>
        <w:rPr>
          <w:color w:val="auto"/>
        </w:rPr>
        <w:t>a</w:t>
      </w:r>
      <w:r w:rsidRPr="00FF4977">
        <w:rPr>
          <w:color w:val="auto"/>
        </w:rPr>
        <w:t xml:space="preserve"> za psihologiju rada</w:t>
      </w:r>
      <w:r>
        <w:rPr>
          <w:color w:val="auto"/>
        </w:rPr>
        <w:t xml:space="preserve"> se trenutno bavi sledećim istraživačkim projektima: </w:t>
      </w:r>
      <w:r w:rsidR="00C52997" w:rsidRPr="00601481">
        <w:rPr>
          <w:i/>
          <w:color w:val="auto"/>
        </w:rPr>
        <w:t>Produktivno i kontraproduktivno ponašanje na radu</w:t>
      </w:r>
      <w:r w:rsidR="00C52997" w:rsidRPr="00C52997">
        <w:rPr>
          <w:rFonts w:eastAsia="Times New Roman"/>
        </w:rPr>
        <w:t xml:space="preserve"> </w:t>
      </w:r>
      <w:r w:rsidR="00C52997">
        <w:rPr>
          <w:rFonts w:eastAsia="Times New Roman"/>
        </w:rPr>
        <w:t>(p</w:t>
      </w:r>
      <w:r w:rsidR="00C52997" w:rsidRPr="00FF4977">
        <w:rPr>
          <w:rFonts w:eastAsia="Times New Roman"/>
        </w:rPr>
        <w:t>roductive and counterproductive behaviour at work</w:t>
      </w:r>
      <w:r w:rsidR="00C52997">
        <w:rPr>
          <w:rFonts w:eastAsia="Times New Roman"/>
        </w:rPr>
        <w:t>)</w:t>
      </w:r>
      <w:r w:rsidR="00C52997">
        <w:rPr>
          <w:color w:val="auto"/>
        </w:rPr>
        <w:t xml:space="preserve">, </w:t>
      </w:r>
      <w:r w:rsidR="00C52997" w:rsidRPr="00601481">
        <w:rPr>
          <w:i/>
          <w:color w:val="auto"/>
        </w:rPr>
        <w:t>Rezilijentnost, sposobnost i dobrobit zaposlenih</w:t>
      </w:r>
      <w:r w:rsidR="00C52997" w:rsidRPr="00C52997">
        <w:rPr>
          <w:rFonts w:eastAsia="Times New Roman"/>
        </w:rPr>
        <w:t xml:space="preserve"> </w:t>
      </w:r>
      <w:r w:rsidR="00C52997">
        <w:rPr>
          <w:rFonts w:eastAsia="Times New Roman"/>
        </w:rPr>
        <w:t>(</w:t>
      </w:r>
      <w:r w:rsidR="00C52997" w:rsidRPr="00FF4977">
        <w:rPr>
          <w:rFonts w:eastAsia="Times New Roman"/>
        </w:rPr>
        <w:t>Resilience, capability and well-being</w:t>
      </w:r>
      <w:r w:rsidR="00C52997">
        <w:rPr>
          <w:rFonts w:eastAsia="Times New Roman"/>
        </w:rPr>
        <w:t xml:space="preserve">), </w:t>
      </w:r>
      <w:r w:rsidR="00C52997" w:rsidRPr="00601481">
        <w:rPr>
          <w:rFonts w:eastAsia="Times New Roman"/>
          <w:i/>
        </w:rPr>
        <w:t>Razvoj i provera psihometrijskih skala</w:t>
      </w:r>
      <w:r w:rsidR="00C52997">
        <w:rPr>
          <w:rFonts w:eastAsia="Times New Roman"/>
        </w:rPr>
        <w:t xml:space="preserve"> (</w:t>
      </w:r>
      <w:r w:rsidR="00C52997" w:rsidRPr="00FF4977">
        <w:rPr>
          <w:rFonts w:eastAsia="Times New Roman"/>
        </w:rPr>
        <w:t>Psychometric scale development and assessment</w:t>
      </w:r>
      <w:r w:rsidR="00C52997">
        <w:rPr>
          <w:rFonts w:eastAsia="Times New Roman"/>
        </w:rPr>
        <w:t xml:space="preserve">) i </w:t>
      </w:r>
      <w:r w:rsidR="00C52997" w:rsidRPr="00601481">
        <w:rPr>
          <w:rFonts w:eastAsia="Times New Roman"/>
          <w:i/>
        </w:rPr>
        <w:t>Zlostavljanje na radu i agresija na radu</w:t>
      </w:r>
      <w:r w:rsidR="00C52997">
        <w:rPr>
          <w:rFonts w:eastAsia="Times New Roman"/>
        </w:rPr>
        <w:t xml:space="preserve"> (</w:t>
      </w:r>
      <w:r w:rsidR="00C52997" w:rsidRPr="00FF4977">
        <w:rPr>
          <w:rFonts w:eastAsia="Times New Roman"/>
        </w:rPr>
        <w:t>Workplace aggression and bullying</w:t>
      </w:r>
      <w:r w:rsidR="00C52997">
        <w:rPr>
          <w:rFonts w:eastAsia="Times New Roman"/>
        </w:rPr>
        <w:t xml:space="preserve">). </w:t>
      </w:r>
      <w:r w:rsidR="00C52997" w:rsidRPr="004B7759">
        <w:rPr>
          <w:rFonts w:eastAsia="Times New Roman"/>
          <w:i/>
        </w:rPr>
        <w:t>Projekat koji se odnosi na produktivno i kontraproduktivno ponašanje</w:t>
      </w:r>
      <w:r w:rsidR="00C52997" w:rsidRPr="00C52997">
        <w:rPr>
          <w:rFonts w:eastAsia="Times New Roman"/>
        </w:rPr>
        <w:t xml:space="preserve"> na radu je kao centralnu ideju imao istraživanje </w:t>
      </w:r>
      <w:r w:rsidR="00A10D81">
        <w:rPr>
          <w:rFonts w:eastAsia="Times New Roman"/>
        </w:rPr>
        <w:t>razlik</w:t>
      </w:r>
      <w:r w:rsidR="004B7759">
        <w:rPr>
          <w:rFonts w:eastAsia="Times New Roman"/>
        </w:rPr>
        <w:t>e</w:t>
      </w:r>
      <w:r w:rsidR="00A10D81">
        <w:rPr>
          <w:rFonts w:eastAsia="Times New Roman"/>
        </w:rPr>
        <w:t xml:space="preserve"> između podržavajućeg i nepodržavajućeg ponašanja menadžera i lidera i kontraproduktivnog i produkti</w:t>
      </w:r>
      <w:r w:rsidR="00601481">
        <w:rPr>
          <w:rFonts w:eastAsia="Times New Roman"/>
        </w:rPr>
        <w:t>v</w:t>
      </w:r>
      <w:r w:rsidR="00A10D81">
        <w:rPr>
          <w:rFonts w:eastAsia="Times New Roman"/>
        </w:rPr>
        <w:t>nog ponašanja zaposlenih</w:t>
      </w:r>
      <w:r w:rsidR="00601481">
        <w:rPr>
          <w:rFonts w:eastAsia="Times New Roman"/>
        </w:rPr>
        <w:t xml:space="preserve">. Ovaj projekat se dalje proširio tako da je uključio temu negativnih strana organizacionog građanstva (organizational citizenship behaviour) koje se u psihologiji rada do sada proučavalo ponajviše kao vid poželjnog i produktivnog ponašanja zaposlenih. </w:t>
      </w:r>
      <w:r w:rsidR="00601481" w:rsidRPr="004B7759">
        <w:rPr>
          <w:rFonts w:eastAsia="Times New Roman"/>
          <w:i/>
        </w:rPr>
        <w:t>Projekat koji se odnosi na rezilijentnost, sposobnost i dobrobit</w:t>
      </w:r>
      <w:r w:rsidR="00601481">
        <w:rPr>
          <w:rFonts w:eastAsia="Times New Roman"/>
        </w:rPr>
        <w:t xml:space="preserve"> zaposlenih se u velikoj meri oslanja na koncepte psihološkog stresa. Cilj je sticanje </w:t>
      </w:r>
      <w:r w:rsidR="00837E30">
        <w:rPr>
          <w:rFonts w:eastAsia="Times New Roman"/>
        </w:rPr>
        <w:t>znanja o</w:t>
      </w:r>
      <w:r w:rsidR="00601481">
        <w:rPr>
          <w:rFonts w:eastAsia="Times New Roman"/>
        </w:rPr>
        <w:t xml:space="preserve"> mogućnost</w:t>
      </w:r>
      <w:r w:rsidR="00837E30">
        <w:rPr>
          <w:rFonts w:eastAsia="Times New Roman"/>
        </w:rPr>
        <w:t>ima</w:t>
      </w:r>
      <w:r w:rsidR="00601481">
        <w:rPr>
          <w:rFonts w:eastAsia="Times New Roman"/>
        </w:rPr>
        <w:t xml:space="preserve"> razvoja </w:t>
      </w:r>
      <w:r w:rsidR="00837E30">
        <w:rPr>
          <w:rFonts w:eastAsia="Times New Roman"/>
        </w:rPr>
        <w:t>rezilijentnosti zaposlenih i radnih timova.  Jedan od fokusa interesovanja i istraživanja je uticaj činioca radne okoline na dobrobit zaposlenih i stres na radu</w:t>
      </w:r>
      <w:r w:rsidR="00AE3475">
        <w:rPr>
          <w:rFonts w:eastAsia="Times New Roman"/>
        </w:rPr>
        <w:t>. Radna okolina se</w:t>
      </w:r>
      <w:r w:rsidR="00356D4E">
        <w:rPr>
          <w:rFonts w:eastAsia="Times New Roman"/>
        </w:rPr>
        <w:t xml:space="preserve"> pri tome</w:t>
      </w:r>
      <w:r w:rsidR="00AE3475">
        <w:rPr>
          <w:rFonts w:eastAsia="Times New Roman"/>
        </w:rPr>
        <w:t xml:space="preserve"> istražuje kao jedan vid simboličkog načina pružanja podrške zaposlenima. </w:t>
      </w:r>
      <w:r w:rsidR="00AE3475" w:rsidRPr="004B7759">
        <w:rPr>
          <w:rFonts w:eastAsia="Times New Roman"/>
          <w:i/>
        </w:rPr>
        <w:t>Projekat koji se odnosi na razvoj i konstrukciju psihometrijskih skala</w:t>
      </w:r>
      <w:r w:rsidR="00AE3475">
        <w:rPr>
          <w:rFonts w:eastAsia="Times New Roman"/>
        </w:rPr>
        <w:t xml:space="preserve"> je koncentrisan na </w:t>
      </w:r>
      <w:r w:rsidR="00356D4E">
        <w:rPr>
          <w:rFonts w:eastAsia="Times New Roman"/>
        </w:rPr>
        <w:t>kreiranje</w:t>
      </w:r>
      <w:r w:rsidR="00AE3475">
        <w:rPr>
          <w:rFonts w:eastAsia="Times New Roman"/>
        </w:rPr>
        <w:t xml:space="preserve"> preporuka i</w:t>
      </w:r>
      <w:r w:rsidR="005D2878">
        <w:rPr>
          <w:rFonts w:eastAsia="Times New Roman"/>
        </w:rPr>
        <w:t xml:space="preserve"> smernica za vršenje psihološke procene korišćenjem računara i interneta. Takođe</w:t>
      </w:r>
      <w:r w:rsidR="00356D4E">
        <w:rPr>
          <w:rFonts w:eastAsia="Times New Roman"/>
        </w:rPr>
        <w:t>,</w:t>
      </w:r>
      <w:r w:rsidR="005D2878">
        <w:rPr>
          <w:rFonts w:eastAsia="Times New Roman"/>
        </w:rPr>
        <w:t xml:space="preserve"> u okviru ovog projekta razvijana je i proveravana skala za is</w:t>
      </w:r>
      <w:r w:rsidR="00356D4E">
        <w:rPr>
          <w:rFonts w:eastAsia="Times New Roman"/>
        </w:rPr>
        <w:t>pit</w:t>
      </w:r>
      <w:r w:rsidR="005D2878">
        <w:rPr>
          <w:rFonts w:eastAsia="Times New Roman"/>
        </w:rPr>
        <w:t>ivanje dobrovoljnog i neobaveznog rada (</w:t>
      </w:r>
      <w:r w:rsidR="005D2878" w:rsidRPr="00652BF8">
        <w:rPr>
          <w:i/>
        </w:rPr>
        <w:t>voluntary workplace behaviour</w:t>
      </w:r>
      <w:r w:rsidR="005D2878">
        <w:t>) kao i skala za procenu ličnosti zaposlenog od strane trećeg lica (</w:t>
      </w:r>
      <w:r w:rsidR="005D2878" w:rsidRPr="00652BF8">
        <w:rPr>
          <w:i/>
        </w:rPr>
        <w:t>observer ratings of personality</w:t>
      </w:r>
      <w:r w:rsidR="005D2878">
        <w:t xml:space="preserve">) i mogućnosti njenog korišćenja u kontekstu rada. </w:t>
      </w:r>
      <w:r w:rsidR="005D2878">
        <w:tab/>
        <w:t xml:space="preserve">Konačno, </w:t>
      </w:r>
      <w:r w:rsidR="005D2878" w:rsidRPr="004B7759">
        <w:rPr>
          <w:i/>
        </w:rPr>
        <w:t xml:space="preserve">projekat koji se </w:t>
      </w:r>
      <w:r w:rsidR="005224DA" w:rsidRPr="004B7759">
        <w:rPr>
          <w:i/>
        </w:rPr>
        <w:t>bavi zlostavljanjem na radu i agresijom na radu</w:t>
      </w:r>
      <w:r w:rsidR="005224DA">
        <w:t xml:space="preserve"> (u </w:t>
      </w:r>
      <w:r w:rsidR="00101FF8">
        <w:t xml:space="preserve">koji sam ja bila neposredno uključena) </w:t>
      </w:r>
      <w:r w:rsidR="00C449E6">
        <w:t>bavi se širokim konceptom malteriranja zaposlenih (workpla</w:t>
      </w:r>
      <w:r w:rsidR="003426CB">
        <w:t>ce mistreatment) u koje spadaju svi oblici negativnih ponašanja na radu (npr. nepristojno ponašanje na radu (incivility), a</w:t>
      </w:r>
      <w:r w:rsidR="004B7759">
        <w:t>buse of power (zloupotreba moći</w:t>
      </w:r>
      <w:r w:rsidR="003426CB">
        <w:t xml:space="preserve">), ali i </w:t>
      </w:r>
      <w:r w:rsidR="003426CB">
        <w:lastRenderedPageBreak/>
        <w:t>“užim” konceptom zlostavljanje na radu. Grupa je do sada izvela i objavila brojna istraživanja koja se odnose na zlostavljanje na radu</w:t>
      </w:r>
      <w:r w:rsidR="004D0B65">
        <w:t xml:space="preserve"> </w:t>
      </w:r>
      <w:r w:rsidR="000B5C55">
        <w:t>(istraživanje zlostavljanja iz perspektive</w:t>
      </w:r>
      <w:r w:rsidR="00652BF8">
        <w:t xml:space="preserve"> radne</w:t>
      </w:r>
      <w:r w:rsidR="000B5C55">
        <w:t xml:space="preserve"> grupe, istraživanja zlostvljanja u kontekstu različitih kultura i personalni činioci zlostvljanja na radu</w:t>
      </w:r>
      <w:r w:rsidR="004B7759">
        <w:t>)</w:t>
      </w:r>
      <w:r w:rsidR="000B5C55">
        <w:t xml:space="preserve">. </w:t>
      </w:r>
      <w:r w:rsidR="00DA0632">
        <w:t>Takođe, grupa se bavila integracijom koncepta zlost</w:t>
      </w:r>
      <w:r w:rsidR="004767BA">
        <w:t>avljanja na radu sa srodnim kon</w:t>
      </w:r>
      <w:r w:rsidR="00DA0632">
        <w:t xml:space="preserve">ceptima, kao što su: zlostavljanje u školskom kontekstu, zlostavljanje u porodici, zlostavljanje u partnerskim odnosima, zlostavljanje u zatvorima. </w:t>
      </w:r>
      <w:r w:rsidR="00356D4E">
        <w:t>Time</w:t>
      </w:r>
      <w:r w:rsidR="00DA0632">
        <w:t xml:space="preserve"> su istraživači želeli da </w:t>
      </w:r>
      <w:r w:rsidR="004767BA">
        <w:t xml:space="preserve">integrišu znanja o zlostavljanju </w:t>
      </w:r>
      <w:r w:rsidR="00546965">
        <w:t>kao konceptu koji po nekim karakteristikama prevazilazi specifične kontekste.</w:t>
      </w:r>
      <w:r w:rsidR="004767BA">
        <w:t xml:space="preserve"> </w:t>
      </w:r>
      <w:r w:rsidR="003426CB">
        <w:t>Grupa je od skoro počela da se bavi konceptom c</w:t>
      </w:r>
      <w:r w:rsidR="004D0B65">
        <w:t>y</w:t>
      </w:r>
      <w:r w:rsidR="000B5C55">
        <w:t>berbullying</w:t>
      </w:r>
      <w:r w:rsidR="00546965">
        <w:t>-</w:t>
      </w:r>
      <w:r w:rsidR="000B5C55">
        <w:t>a na radu</w:t>
      </w:r>
      <w:r w:rsidR="00546965">
        <w:t xml:space="preserve"> (zlostavljanje na ra</w:t>
      </w:r>
      <w:r w:rsidR="00356D4E">
        <w:t>d</w:t>
      </w:r>
      <w:r w:rsidR="00546965">
        <w:t>u korišćenjem informacione tehnologije</w:t>
      </w:r>
      <w:r w:rsidR="000B5C55">
        <w:t>, tačnije razvojem instrumenta za njegovu procenu i njegovim uticajem na pojedinca i ponašanje na radu</w:t>
      </w:r>
      <w:r w:rsidR="00356D4E">
        <w:t>)</w:t>
      </w:r>
      <w:r w:rsidR="000B5C55">
        <w:t xml:space="preserve">. </w:t>
      </w:r>
      <w:r w:rsidR="000B5C55" w:rsidRPr="000B5C55">
        <w:t>Ovaj projekat se radi</w:t>
      </w:r>
      <w:r w:rsidR="000B5C55">
        <w:t xml:space="preserve"> u saradnji</w:t>
      </w:r>
      <w:r w:rsidR="000B5C55" w:rsidRPr="000B5C55">
        <w:t xml:space="preserve"> sa istraživačkom grupom koju čine psiholozi rada sa Univerziteta u Šefildu</w:t>
      </w:r>
      <w:r w:rsidR="000B5C55">
        <w:t>.</w:t>
      </w:r>
    </w:p>
    <w:p w:rsidR="0081765A" w:rsidRPr="00906396" w:rsidRDefault="0081765A" w:rsidP="00FF4977">
      <w:pPr>
        <w:pStyle w:val="Default"/>
        <w:jc w:val="both"/>
        <w:rPr>
          <w:bCs/>
        </w:rPr>
      </w:pPr>
      <w:r>
        <w:tab/>
        <w:t xml:space="preserve">Istraživačka grupa za psihologiju rada okuplja tri doktora psiholoških nauka, nastavnika na Univerzitetu u Notingemu koji vode navedene projekate - Iana Kojna, Fionu Gavin i Filipa Ledera, njihove doktorante i istraživače saradnike koji im pomažu oko istraživačkih zadataka i nastave. Moj supervizor tokom ove studijske posete bio je </w:t>
      </w:r>
      <w:r w:rsidR="00DA0632">
        <w:t>Ian Kojn (Iain Coyne)</w:t>
      </w:r>
      <w:r w:rsidR="0037502C">
        <w:t xml:space="preserve">, doktor psiholoških nauka i docent iz oblasti psihologije rada. </w:t>
      </w:r>
      <w:r w:rsidR="003B6FD1">
        <w:t>Profesor</w:t>
      </w:r>
      <w:r w:rsidR="0037502C">
        <w:t xml:space="preserve"> Ian Kojn na Univerzitetu u Notingemu drži kurseve</w:t>
      </w:r>
      <w:r w:rsidR="00481AFC">
        <w:t xml:space="preserve"> Occupational </w:t>
      </w:r>
      <w:r w:rsidR="00356D4E">
        <w:t>S</w:t>
      </w:r>
      <w:r w:rsidR="00481AFC">
        <w:t xml:space="preserve">election and </w:t>
      </w:r>
      <w:r w:rsidR="00356D4E">
        <w:t>A</w:t>
      </w:r>
      <w:r w:rsidR="00481AFC">
        <w:t xml:space="preserve">ssessment (Selekcija i procenjivanje zaposlenih), </w:t>
      </w:r>
      <w:r w:rsidR="00481AFC">
        <w:rPr>
          <w:bCs/>
        </w:rPr>
        <w:t>E</w:t>
      </w:r>
      <w:r w:rsidR="00481AFC" w:rsidRPr="00481AFC">
        <w:rPr>
          <w:bCs/>
        </w:rPr>
        <w:t>m</w:t>
      </w:r>
      <w:r w:rsidR="00481AFC">
        <w:rPr>
          <w:bCs/>
        </w:rPr>
        <w:t xml:space="preserve">ployee </w:t>
      </w:r>
      <w:r w:rsidR="00356D4E">
        <w:rPr>
          <w:bCs/>
        </w:rPr>
        <w:t>R</w:t>
      </w:r>
      <w:r w:rsidR="00481AFC">
        <w:rPr>
          <w:bCs/>
        </w:rPr>
        <w:t xml:space="preserve">elations and </w:t>
      </w:r>
      <w:r w:rsidR="00356D4E">
        <w:rPr>
          <w:bCs/>
        </w:rPr>
        <w:t>M</w:t>
      </w:r>
      <w:r w:rsidR="00481AFC">
        <w:rPr>
          <w:bCs/>
        </w:rPr>
        <w:t>otivation (Međuljudski odnosi i motivacija zaposlenih) i P</w:t>
      </w:r>
      <w:r w:rsidR="00481AFC" w:rsidRPr="00481AFC">
        <w:rPr>
          <w:bCs/>
        </w:rPr>
        <w:t xml:space="preserve">rofessional </w:t>
      </w:r>
      <w:r w:rsidR="00356D4E">
        <w:rPr>
          <w:bCs/>
        </w:rPr>
        <w:t>Issues in Research and P</w:t>
      </w:r>
      <w:r w:rsidR="00481AFC" w:rsidRPr="00481AFC">
        <w:rPr>
          <w:bCs/>
        </w:rPr>
        <w:t>ractice</w:t>
      </w:r>
      <w:r w:rsidR="00481AFC">
        <w:rPr>
          <w:bCs/>
        </w:rPr>
        <w:t xml:space="preserve"> (Profesionalna pitanja u istraživanju i praksi psihologije rada). </w:t>
      </w:r>
      <w:r w:rsidR="004767BA">
        <w:rPr>
          <w:bCs/>
        </w:rPr>
        <w:t>Njegova uža specijalnost su sledeće oblasti: zlostavljanje na radu, sajberbuling (cyberbull</w:t>
      </w:r>
      <w:r w:rsidR="00E10CEF">
        <w:rPr>
          <w:bCs/>
        </w:rPr>
        <w:t>y</w:t>
      </w:r>
      <w:r w:rsidR="004767BA">
        <w:rPr>
          <w:bCs/>
        </w:rPr>
        <w:t xml:space="preserve">ing) na radu, produktivno i kontraproduktivno ponašanje na radu, razvoj, validacija i ocena psihometrijskih testova. Profesor Kojn je objavio veliki broj radova na temu zlostavljanja na radu, </w:t>
      </w:r>
      <w:r w:rsidR="003B6FD1">
        <w:rPr>
          <w:bCs/>
        </w:rPr>
        <w:t>sajberbulinga, kontraproduktivnog i produktivnog radnog ponašanja koji su objavljeni u istaknutim međunarodnim časopisima.</w:t>
      </w:r>
      <w:r w:rsidR="00481AFC" w:rsidRPr="00481AFC">
        <w:t xml:space="preserve"> </w:t>
      </w:r>
      <w:r w:rsidR="003B6FD1">
        <w:t>Osim toga, profesor Kojn je urednik (</w:t>
      </w:r>
      <w:r w:rsidR="003B6FD1" w:rsidRPr="00E10CEF">
        <w:rPr>
          <w:i/>
        </w:rPr>
        <w:t>senior editor</w:t>
      </w:r>
      <w:r w:rsidR="003B6FD1">
        <w:t xml:space="preserve">) specijalizovan za reviziju testova u Britanskom psihološkom društvu </w:t>
      </w:r>
      <w:r w:rsidR="003B6FD1" w:rsidRPr="003B6FD1">
        <w:rPr>
          <w:bCs/>
        </w:rPr>
        <w:t>(</w:t>
      </w:r>
      <w:r w:rsidR="003B6FD1" w:rsidRPr="00E10CEF">
        <w:rPr>
          <w:bCs/>
          <w:i/>
        </w:rPr>
        <w:t>senior editor for the BPS test reviews</w:t>
      </w:r>
      <w:r w:rsidR="003B6FD1" w:rsidRPr="003B6FD1">
        <w:rPr>
          <w:bCs/>
        </w:rPr>
        <w:t>)</w:t>
      </w:r>
      <w:r w:rsidR="003B6FD1">
        <w:rPr>
          <w:bCs/>
        </w:rPr>
        <w:t xml:space="preserve">. </w:t>
      </w:r>
      <w:r w:rsidR="00906396" w:rsidRPr="00906396">
        <w:rPr>
          <w:bCs/>
        </w:rPr>
        <w:t>Takođe, on je bio i trenutno je vođa projekata koji se odnose na zlostavljanje na radu,</w:t>
      </w:r>
      <w:r w:rsidR="00906396">
        <w:rPr>
          <w:bCs/>
        </w:rPr>
        <w:t xml:space="preserve"> sajberbuling, produktivna i kontraproduktivna ponašanja na radu. </w:t>
      </w:r>
      <w:r w:rsidR="00546965">
        <w:rPr>
          <w:bCs/>
        </w:rPr>
        <w:t xml:space="preserve">Ovi projekti se rade u okviru Divizije, u saradnji sa istraživačima sa Univerziteta u Šefildu, ali </w:t>
      </w:r>
      <w:r w:rsidR="00356D4E">
        <w:rPr>
          <w:bCs/>
        </w:rPr>
        <w:t xml:space="preserve">i </w:t>
      </w:r>
      <w:r w:rsidR="00546965">
        <w:rPr>
          <w:bCs/>
        </w:rPr>
        <w:t>u saradnji sa druim istraživačima u Evropi</w:t>
      </w:r>
      <w:r w:rsidR="00356D4E">
        <w:rPr>
          <w:bCs/>
        </w:rPr>
        <w:t xml:space="preserve"> - </w:t>
      </w:r>
      <w:r w:rsidR="002C2992">
        <w:rPr>
          <w:bCs/>
        </w:rPr>
        <w:t xml:space="preserve">u okviru </w:t>
      </w:r>
      <w:r w:rsidR="00356D4E">
        <w:rPr>
          <w:bCs/>
        </w:rPr>
        <w:t xml:space="preserve">različitih </w:t>
      </w:r>
      <w:r w:rsidR="002C2992">
        <w:rPr>
          <w:bCs/>
        </w:rPr>
        <w:t>evropskih projekata</w:t>
      </w:r>
      <w:r w:rsidR="00546965">
        <w:rPr>
          <w:bCs/>
        </w:rPr>
        <w:t>.</w:t>
      </w:r>
      <w:r w:rsidR="00906396" w:rsidRPr="00906396">
        <w:rPr>
          <w:bCs/>
        </w:rPr>
        <w:t xml:space="preserve"> </w:t>
      </w:r>
      <w:r w:rsidR="003B6FD1" w:rsidRPr="00906396">
        <w:rPr>
          <w:bCs/>
        </w:rPr>
        <w:t>Profesor Kojn ima</w:t>
      </w:r>
      <w:r w:rsidR="00906396">
        <w:rPr>
          <w:bCs/>
        </w:rPr>
        <w:t xml:space="preserve"> petnaest godina iskustva</w:t>
      </w:r>
      <w:r w:rsidR="00546965">
        <w:rPr>
          <w:bCs/>
        </w:rPr>
        <w:t xml:space="preserve"> rada u oblasti psihologij</w:t>
      </w:r>
      <w:r w:rsidR="00E10CEF">
        <w:rPr>
          <w:bCs/>
        </w:rPr>
        <w:t>e</w:t>
      </w:r>
      <w:r w:rsidR="00546965">
        <w:rPr>
          <w:bCs/>
        </w:rPr>
        <w:t xml:space="preserve"> rada</w:t>
      </w:r>
      <w:r w:rsidR="00356D4E">
        <w:rPr>
          <w:bCs/>
        </w:rPr>
        <w:t xml:space="preserve"> i akreditovan je praktičar iz ove oblasti</w:t>
      </w:r>
      <w:r w:rsidR="00546965">
        <w:rPr>
          <w:bCs/>
        </w:rPr>
        <w:t xml:space="preserve">. </w:t>
      </w:r>
    </w:p>
    <w:p w:rsidR="0037502C" w:rsidRPr="00906396" w:rsidRDefault="0037502C" w:rsidP="00FF4977">
      <w:pPr>
        <w:pStyle w:val="Default"/>
        <w:jc w:val="both"/>
      </w:pPr>
    </w:p>
    <w:p w:rsidR="00C52997" w:rsidRPr="00C52997" w:rsidRDefault="00C52997" w:rsidP="00FF4977">
      <w:pPr>
        <w:pStyle w:val="Default"/>
        <w:jc w:val="both"/>
        <w:rPr>
          <w:b/>
          <w:i/>
          <w:color w:val="auto"/>
          <w:lang w:val="de-DE"/>
        </w:rPr>
      </w:pPr>
      <w:r w:rsidRPr="00C52997">
        <w:rPr>
          <w:b/>
          <w:i/>
          <w:color w:val="auto"/>
          <w:lang w:val="de-DE"/>
        </w:rPr>
        <w:t xml:space="preserve">Moje aktivnosti u okviru </w:t>
      </w:r>
      <w:r w:rsidRPr="005D2878">
        <w:rPr>
          <w:rFonts w:eastAsia="Times New Roman"/>
          <w:b/>
          <w:i/>
          <w:lang w:val="de-DE"/>
        </w:rPr>
        <w:t>grupe za psihologiju rada</w:t>
      </w:r>
    </w:p>
    <w:p w:rsidR="00FF4977" w:rsidRPr="005D2878" w:rsidRDefault="00FF4977" w:rsidP="00FF4977">
      <w:pPr>
        <w:pStyle w:val="Default"/>
        <w:jc w:val="both"/>
        <w:rPr>
          <w:color w:val="auto"/>
          <w:lang w:val="de-DE"/>
        </w:rPr>
      </w:pPr>
    </w:p>
    <w:p w:rsidR="002C2992" w:rsidRPr="00C9654E" w:rsidRDefault="00101FF8" w:rsidP="00C9654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de-DE"/>
        </w:rPr>
      </w:pPr>
      <w:r w:rsidRPr="00C9654E">
        <w:rPr>
          <w:i/>
          <w:lang w:val="de-DE"/>
        </w:rPr>
        <w:t>Rad na zajedničkom projektu iz oblasti zlostavljanja na radu sa profesorom Kojnom</w:t>
      </w:r>
      <w:r w:rsidR="002C2992" w:rsidRPr="00C9654E">
        <w:rPr>
          <w:i/>
          <w:lang w:val="de-DE"/>
        </w:rPr>
        <w:t xml:space="preserve">. </w:t>
      </w:r>
      <w:r w:rsidR="002C2992" w:rsidRPr="00C9654E">
        <w:rPr>
          <w:lang w:val="de-DE"/>
        </w:rPr>
        <w:t>Rad na zajedničkom projektu sa profesorom Kojnom podrazumevao je nekoliko različitih aktivnosti koje ću ukratko opisati.</w:t>
      </w:r>
    </w:p>
    <w:p w:rsidR="00C9654E" w:rsidRPr="00C9654E" w:rsidRDefault="00C9654E" w:rsidP="00C9654E">
      <w:pPr>
        <w:pStyle w:val="NormalWeb"/>
        <w:spacing w:before="0" w:beforeAutospacing="0" w:after="0" w:afterAutospacing="0"/>
        <w:ind w:left="776"/>
        <w:jc w:val="both"/>
        <w:rPr>
          <w:sz w:val="6"/>
          <w:szCs w:val="6"/>
          <w:lang w:val="de-DE"/>
        </w:rPr>
      </w:pPr>
    </w:p>
    <w:p w:rsidR="0022446A" w:rsidRPr="0022446A" w:rsidRDefault="00C9654E" w:rsidP="00C9654E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i/>
          <w:lang w:val="de-DE"/>
        </w:rPr>
      </w:pPr>
      <w:r w:rsidRPr="008F2DE6">
        <w:rPr>
          <w:i/>
          <w:lang w:val="de-DE"/>
        </w:rPr>
        <w:t>Disusija i pregled rezultata istraživanja zlostavljanja na radu u Srbiji.</w:t>
      </w:r>
      <w:r w:rsidRPr="008F2DE6">
        <w:rPr>
          <w:lang w:val="de-DE"/>
        </w:rPr>
        <w:t xml:space="preserve"> </w:t>
      </w:r>
      <w:r w:rsidR="00E10CEF">
        <w:rPr>
          <w:lang w:val="de-DE"/>
        </w:rPr>
        <w:t xml:space="preserve"> Z</w:t>
      </w:r>
      <w:r w:rsidRPr="008F2DE6">
        <w:rPr>
          <w:lang w:val="de-DE"/>
        </w:rPr>
        <w:t>lostavljanje na radu u Srbiji izučava se korišćenjem validne (</w:t>
      </w:r>
      <w:r w:rsidR="0022446A">
        <w:rPr>
          <w:lang w:val="de-DE"/>
        </w:rPr>
        <w:t>međunarodno uporedive</w:t>
      </w:r>
      <w:r w:rsidRPr="008F2DE6">
        <w:rPr>
          <w:lang w:val="de-DE"/>
        </w:rPr>
        <w:t xml:space="preserve">) metodologije u okviru projekata Instituta za psihologiju u Beogradu još </w:t>
      </w:r>
      <w:r w:rsidR="008F18F8" w:rsidRPr="008F2DE6">
        <w:rPr>
          <w:lang w:val="de-DE"/>
        </w:rPr>
        <w:t xml:space="preserve">od </w:t>
      </w:r>
      <w:r w:rsidRPr="008F2DE6">
        <w:rPr>
          <w:lang w:val="de-DE"/>
        </w:rPr>
        <w:t>2009. godine. Prof</w:t>
      </w:r>
      <w:r w:rsidR="008F18F8" w:rsidRPr="008F2DE6">
        <w:rPr>
          <w:lang w:val="de-DE"/>
        </w:rPr>
        <w:t xml:space="preserve">esor Kojn je </w:t>
      </w:r>
      <w:r w:rsidR="00356D4E">
        <w:rPr>
          <w:lang w:val="de-DE"/>
        </w:rPr>
        <w:t>analizirao</w:t>
      </w:r>
      <w:r w:rsidR="008F18F8" w:rsidRPr="008F2DE6">
        <w:rPr>
          <w:lang w:val="de-DE"/>
        </w:rPr>
        <w:t xml:space="preserve"> </w:t>
      </w:r>
      <w:r w:rsidR="00750915">
        <w:rPr>
          <w:lang w:val="de-DE"/>
        </w:rPr>
        <w:t xml:space="preserve">i prodiskutovao </w:t>
      </w:r>
      <w:r w:rsidR="008F18F8" w:rsidRPr="008F2DE6">
        <w:rPr>
          <w:lang w:val="de-DE"/>
        </w:rPr>
        <w:t>zajedno s</w:t>
      </w:r>
      <w:r w:rsidR="0022446A">
        <w:rPr>
          <w:lang w:val="de-DE"/>
        </w:rPr>
        <w:t xml:space="preserve">amnom dosadašnje rezultate </w:t>
      </w:r>
      <w:r w:rsidR="00750915">
        <w:rPr>
          <w:lang w:val="de-DE"/>
        </w:rPr>
        <w:t>i moguće pravce budućih</w:t>
      </w:r>
      <w:r w:rsidR="00A75B1F" w:rsidRPr="008F2DE6">
        <w:rPr>
          <w:lang w:val="de-DE"/>
        </w:rPr>
        <w:t xml:space="preserve"> istraživanja</w:t>
      </w:r>
      <w:r w:rsidR="008F2DE6">
        <w:rPr>
          <w:lang w:val="de-DE"/>
        </w:rPr>
        <w:t>.</w:t>
      </w:r>
      <w:r w:rsidR="00A26416">
        <w:rPr>
          <w:lang w:val="de-DE"/>
        </w:rPr>
        <w:t xml:space="preserve"> </w:t>
      </w:r>
      <w:r w:rsidR="0022446A">
        <w:rPr>
          <w:lang w:val="de-DE"/>
        </w:rPr>
        <w:t>Radovi o kojima smo diskutovali su sledeći:</w:t>
      </w:r>
    </w:p>
    <w:p w:rsidR="0022446A" w:rsidRPr="00CE0D7F" w:rsidRDefault="0022446A" w:rsidP="0022446A">
      <w:pPr>
        <w:pStyle w:val="ListParagraph"/>
        <w:numPr>
          <w:ilvl w:val="2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D7F">
        <w:rPr>
          <w:rFonts w:ascii="Times New Roman" w:eastAsia="Times New Roman" w:hAnsi="Times New Roman" w:cs="Times New Roman"/>
          <w:sz w:val="24"/>
          <w:szCs w:val="24"/>
        </w:rPr>
        <w:t xml:space="preserve">Vukelic, M., B, Cizmic, S., M, &amp; Petrovic, I., B (2013). Effect of involvement with workplace bullying: Are the victims the only victims? </w:t>
      </w:r>
      <w:r w:rsidRPr="00CE0D7F">
        <w:rPr>
          <w:rFonts w:ascii="Times New Roman" w:eastAsia="Times New Roman" w:hAnsi="Times New Roman" w:cs="Times New Roman"/>
          <w:i/>
          <w:sz w:val="24"/>
          <w:szCs w:val="24"/>
        </w:rPr>
        <w:t>16th congress of the European Association of Work and Organizational Psychology</w:t>
      </w:r>
      <w:r w:rsidRPr="00CE0D7F">
        <w:rPr>
          <w:rFonts w:ascii="Times New Roman" w:eastAsia="Times New Roman" w:hAnsi="Times New Roman" w:cs="Times New Roman"/>
          <w:sz w:val="24"/>
          <w:szCs w:val="24"/>
        </w:rPr>
        <w:t>, May 22nd-25th in Münster, Germany.</w:t>
      </w:r>
    </w:p>
    <w:p w:rsidR="0022446A" w:rsidRPr="0022446A" w:rsidRDefault="0022446A" w:rsidP="0022446A">
      <w:pPr>
        <w:pStyle w:val="ListParagraph"/>
        <w:numPr>
          <w:ilvl w:val="2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E0D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Petrović, I., Čizmić, S., Vukelić, M. (u štampi). Workplace bullying in Serbia: The relation of self-labeling and behavioral experience with job-related behaviors. </w:t>
      </w:r>
      <w:r w:rsidRPr="0022446A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Psihologija</w:t>
      </w:r>
      <w:r w:rsidRPr="0022446A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8F2DE6" w:rsidRPr="00302355" w:rsidRDefault="008F2DE6" w:rsidP="00C9654E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i/>
          <w:lang w:val="de-DE"/>
        </w:rPr>
      </w:pPr>
      <w:r w:rsidRPr="008F2DE6">
        <w:rPr>
          <w:i/>
          <w:lang w:val="de-DE"/>
        </w:rPr>
        <w:t xml:space="preserve">Proučavanje preporučene literature i diskusija. </w:t>
      </w:r>
      <w:r w:rsidR="00B96543" w:rsidRPr="00750915">
        <w:rPr>
          <w:lang w:val="de-DE"/>
        </w:rPr>
        <w:t>P</w:t>
      </w:r>
      <w:r w:rsidR="00B43F7A">
        <w:rPr>
          <w:lang w:val="de-DE"/>
        </w:rPr>
        <w:t>rofesor Kojn trenutno radi na kr</w:t>
      </w:r>
      <w:r w:rsidR="00960B4A">
        <w:rPr>
          <w:lang w:val="de-DE"/>
        </w:rPr>
        <w:t>eiranju serije istraživanja koja</w:t>
      </w:r>
      <w:r w:rsidR="00B43F7A">
        <w:rPr>
          <w:lang w:val="de-DE"/>
        </w:rPr>
        <w:t xml:space="preserve"> </w:t>
      </w:r>
      <w:r w:rsidR="00750915">
        <w:rPr>
          <w:lang w:val="de-DE"/>
        </w:rPr>
        <w:t>ima</w:t>
      </w:r>
      <w:r w:rsidR="00960B4A">
        <w:rPr>
          <w:lang w:val="de-DE"/>
        </w:rPr>
        <w:t>ju</w:t>
      </w:r>
      <w:r w:rsidR="00750915">
        <w:rPr>
          <w:lang w:val="de-DE"/>
        </w:rPr>
        <w:t xml:space="preserve"> za cilj da </w:t>
      </w:r>
      <w:r w:rsidR="00B43F7A">
        <w:rPr>
          <w:lang w:val="de-DE"/>
        </w:rPr>
        <w:t>na jedan sržni</w:t>
      </w:r>
      <w:r w:rsidR="006F59AA">
        <w:rPr>
          <w:lang w:val="de-DE"/>
        </w:rPr>
        <w:t>ji</w:t>
      </w:r>
      <w:r w:rsidR="00B43F7A">
        <w:rPr>
          <w:lang w:val="de-DE"/>
        </w:rPr>
        <w:t xml:space="preserve"> način </w:t>
      </w:r>
      <w:r w:rsidR="00960B4A">
        <w:rPr>
          <w:lang w:val="de-DE"/>
        </w:rPr>
        <w:t>analiziraju</w:t>
      </w:r>
      <w:r w:rsidR="00B43F7A">
        <w:rPr>
          <w:lang w:val="de-DE"/>
        </w:rPr>
        <w:t xml:space="preserve"> zlostav</w:t>
      </w:r>
      <w:r w:rsidR="00750915">
        <w:rPr>
          <w:lang w:val="de-DE"/>
        </w:rPr>
        <w:t>ljanje</w:t>
      </w:r>
      <w:r w:rsidR="00B43F7A">
        <w:rPr>
          <w:lang w:val="de-DE"/>
        </w:rPr>
        <w:t xml:space="preserve"> na radu</w:t>
      </w:r>
      <w:r w:rsidR="00750915">
        <w:rPr>
          <w:lang w:val="de-DE"/>
        </w:rPr>
        <w:t xml:space="preserve">. </w:t>
      </w:r>
      <w:r w:rsidR="00960B4A">
        <w:rPr>
          <w:lang w:val="de-DE"/>
        </w:rPr>
        <w:t>Ta dublja analiza bi bila omogućena</w:t>
      </w:r>
      <w:r w:rsidR="00B43F7A">
        <w:rPr>
          <w:lang w:val="de-DE"/>
        </w:rPr>
        <w:t xml:space="preserve"> tako što bi</w:t>
      </w:r>
      <w:r w:rsidR="00960B4A">
        <w:rPr>
          <w:lang w:val="de-DE"/>
        </w:rPr>
        <w:t xml:space="preserve"> se u okviru različitih istraživanja testirao</w:t>
      </w:r>
      <w:r w:rsidR="00B43F7A">
        <w:rPr>
          <w:lang w:val="de-DE"/>
        </w:rPr>
        <w:t xml:space="preserve"> koncept</w:t>
      </w:r>
      <w:r w:rsidR="00960B4A">
        <w:rPr>
          <w:lang w:val="de-DE"/>
        </w:rPr>
        <w:t xml:space="preserve"> zlostavljanja</w:t>
      </w:r>
      <w:r w:rsidR="00B43F7A">
        <w:rPr>
          <w:lang w:val="de-DE"/>
        </w:rPr>
        <w:t xml:space="preserve"> u okviru poznatih psiholoških modela stresa i razvoja neadaptivnog ponašanja na radu. U tom smislu, zajedno smo pre</w:t>
      </w:r>
      <w:r w:rsidR="00302355">
        <w:rPr>
          <w:lang w:val="de-DE"/>
        </w:rPr>
        <w:t>tr</w:t>
      </w:r>
      <w:r w:rsidR="00B43F7A">
        <w:rPr>
          <w:lang w:val="de-DE"/>
        </w:rPr>
        <w:t>a</w:t>
      </w:r>
      <w:r w:rsidR="005E1A7D">
        <w:rPr>
          <w:lang w:val="de-DE"/>
        </w:rPr>
        <w:t>ž</w:t>
      </w:r>
      <w:r w:rsidR="00B43F7A">
        <w:rPr>
          <w:lang w:val="de-DE"/>
        </w:rPr>
        <w:t>ili</w:t>
      </w:r>
      <w:r w:rsidR="00302355">
        <w:rPr>
          <w:lang w:val="de-DE"/>
        </w:rPr>
        <w:t xml:space="preserve"> i izdvojili</w:t>
      </w:r>
      <w:r w:rsidR="00B43F7A">
        <w:rPr>
          <w:lang w:val="de-DE"/>
        </w:rPr>
        <w:t xml:space="preserve"> literaturu i diskutovali o dosadašnjim modelima u okviru kojih bi se moglo </w:t>
      </w:r>
      <w:r w:rsidR="00960B4A">
        <w:rPr>
          <w:lang w:val="de-DE"/>
        </w:rPr>
        <w:t>istraživati</w:t>
      </w:r>
      <w:r w:rsidR="00B43F7A">
        <w:rPr>
          <w:lang w:val="de-DE"/>
        </w:rPr>
        <w:t xml:space="preserve"> zlostavljanje na radu. </w:t>
      </w:r>
      <w:r w:rsidR="005E1A7D">
        <w:rPr>
          <w:lang w:val="de-DE"/>
        </w:rPr>
        <w:t xml:space="preserve">Cilj je bio pronaći sve </w:t>
      </w:r>
      <w:r w:rsidR="00302355">
        <w:rPr>
          <w:lang w:val="de-DE"/>
        </w:rPr>
        <w:t>adekvatne</w:t>
      </w:r>
      <w:r w:rsidR="005E1A7D">
        <w:rPr>
          <w:lang w:val="de-DE"/>
        </w:rPr>
        <w:t xml:space="preserve"> koncepte kojima se </w:t>
      </w:r>
      <w:r w:rsidR="00960B4A">
        <w:rPr>
          <w:lang w:val="de-DE"/>
        </w:rPr>
        <w:t xml:space="preserve">na jedan obuhvatan način </w:t>
      </w:r>
      <w:r w:rsidR="005E1A7D">
        <w:rPr>
          <w:lang w:val="de-DE"/>
        </w:rPr>
        <w:t xml:space="preserve">može opisati i razumeti dinamika zlostavljanja na radu. </w:t>
      </w:r>
      <w:r w:rsidR="00B43F7A">
        <w:rPr>
          <w:lang w:val="de-DE"/>
        </w:rPr>
        <w:t xml:space="preserve">Kao rezultat toga je nastala prezentacija svih modela i pitanja vezanih za </w:t>
      </w:r>
      <w:r w:rsidR="005E1A7D">
        <w:rPr>
          <w:lang w:val="de-DE"/>
        </w:rPr>
        <w:t>mogućnosti integracije</w:t>
      </w:r>
      <w:r w:rsidR="00B43F7A">
        <w:rPr>
          <w:lang w:val="de-DE"/>
        </w:rPr>
        <w:t xml:space="preserve"> </w:t>
      </w:r>
      <w:r w:rsidR="00A26416">
        <w:rPr>
          <w:lang w:val="de-DE"/>
        </w:rPr>
        <w:t xml:space="preserve">koncepta </w:t>
      </w:r>
      <w:r w:rsidR="00B43F7A">
        <w:rPr>
          <w:lang w:val="de-DE"/>
        </w:rPr>
        <w:t>zlostavljanja na radu</w:t>
      </w:r>
      <w:r w:rsidR="00005B87">
        <w:rPr>
          <w:lang w:val="de-DE"/>
        </w:rPr>
        <w:t xml:space="preserve"> u iste</w:t>
      </w:r>
      <w:r w:rsidR="005E1A7D">
        <w:rPr>
          <w:lang w:val="de-DE"/>
        </w:rPr>
        <w:t>. Ova prezentacij</w:t>
      </w:r>
      <w:r w:rsidR="00960B4A">
        <w:rPr>
          <w:lang w:val="de-DE"/>
        </w:rPr>
        <w:t>a</w:t>
      </w:r>
      <w:r w:rsidR="00005B87">
        <w:rPr>
          <w:lang w:val="de-DE"/>
        </w:rPr>
        <w:t xml:space="preserve"> je kasnije iskorišćena kao podloga za</w:t>
      </w:r>
      <w:r w:rsidR="00302355">
        <w:rPr>
          <w:lang w:val="de-DE"/>
        </w:rPr>
        <w:t xml:space="preserve"> diskutovanje o seriji</w:t>
      </w:r>
      <w:r w:rsidR="00A26416">
        <w:rPr>
          <w:lang w:val="de-DE"/>
        </w:rPr>
        <w:t xml:space="preserve"> istraživanja (kvalitativnih i kvantitativnih) ko</w:t>
      </w:r>
      <w:r w:rsidR="005E1A7D">
        <w:rPr>
          <w:lang w:val="de-DE"/>
        </w:rPr>
        <w:t>jima bi se istraživala primenjivost ovih modela u razumevanju zlostavljanja na radu.</w:t>
      </w:r>
      <w:r w:rsidR="00005B87">
        <w:rPr>
          <w:lang w:val="de-DE"/>
        </w:rPr>
        <w:t xml:space="preserve"> </w:t>
      </w:r>
    </w:p>
    <w:p w:rsidR="00302355" w:rsidRPr="00CE0D7F" w:rsidRDefault="00302355" w:rsidP="00302355">
      <w:pPr>
        <w:pStyle w:val="NormalWeb"/>
        <w:spacing w:before="0" w:beforeAutospacing="0" w:after="0" w:afterAutospacing="0"/>
        <w:ind w:left="1496"/>
        <w:jc w:val="both"/>
        <w:rPr>
          <w:sz w:val="10"/>
          <w:szCs w:val="10"/>
          <w:lang w:val="de-DE"/>
        </w:rPr>
      </w:pPr>
    </w:p>
    <w:p w:rsidR="00AA718F" w:rsidRPr="00302355" w:rsidRDefault="00171720" w:rsidP="00AA718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i/>
          <w:lang w:val="de-DE"/>
        </w:rPr>
      </w:pPr>
      <w:r w:rsidRPr="00171720">
        <w:rPr>
          <w:i/>
          <w:lang w:val="de-DE"/>
        </w:rPr>
        <w:t>Uključivanje u razvoj skale o sajberbulingu</w:t>
      </w:r>
      <w:r w:rsidR="00302355">
        <w:rPr>
          <w:i/>
          <w:lang w:val="de-DE"/>
        </w:rPr>
        <w:t>.</w:t>
      </w:r>
      <w:r w:rsidRPr="008F2DE6">
        <w:rPr>
          <w:i/>
          <w:lang w:val="de-DE"/>
        </w:rPr>
        <w:t xml:space="preserve"> </w:t>
      </w:r>
      <w:r w:rsidR="00CF12F5">
        <w:rPr>
          <w:lang w:val="de-DE"/>
        </w:rPr>
        <w:t>Zajedno sa istraživačima u Šefildu</w:t>
      </w:r>
      <w:r w:rsidR="00AA718F">
        <w:rPr>
          <w:lang w:val="de-DE"/>
        </w:rPr>
        <w:t xml:space="preserve"> sa Instituta za psihologiju rada</w:t>
      </w:r>
      <w:r w:rsidR="005E1A7D">
        <w:rPr>
          <w:lang w:val="de-DE"/>
        </w:rPr>
        <w:t xml:space="preserve"> </w:t>
      </w:r>
      <w:r w:rsidR="00AA718F">
        <w:rPr>
          <w:lang w:val="de-DE"/>
        </w:rPr>
        <w:t xml:space="preserve">(prof. Karolin Ekstel, prof. Kristin Sprig i doktorant Semjuelom Farlijem) </w:t>
      </w:r>
      <w:r w:rsidR="005E1A7D">
        <w:rPr>
          <w:lang w:val="de-DE"/>
        </w:rPr>
        <w:t>koji su trenutno sa profesorom Kojnom</w:t>
      </w:r>
      <w:r w:rsidR="00302355">
        <w:rPr>
          <w:lang w:val="de-DE"/>
        </w:rPr>
        <w:t xml:space="preserve"> angažovani </w:t>
      </w:r>
      <w:r w:rsidR="005E1A7D">
        <w:rPr>
          <w:lang w:val="de-DE"/>
        </w:rPr>
        <w:t>na projektu</w:t>
      </w:r>
      <w:r w:rsidR="00302355">
        <w:rPr>
          <w:lang w:val="de-DE"/>
        </w:rPr>
        <w:t xml:space="preserve"> razvoja skale za procenu</w:t>
      </w:r>
      <w:r w:rsidR="005E1A7D">
        <w:rPr>
          <w:lang w:val="de-DE"/>
        </w:rPr>
        <w:t xml:space="preserve"> saj</w:t>
      </w:r>
      <w:r w:rsidR="00AA718F">
        <w:rPr>
          <w:lang w:val="de-DE"/>
        </w:rPr>
        <w:t>b</w:t>
      </w:r>
      <w:r w:rsidR="005E1A7D">
        <w:rPr>
          <w:lang w:val="de-DE"/>
        </w:rPr>
        <w:t>erbuling</w:t>
      </w:r>
      <w:r w:rsidR="00302355">
        <w:rPr>
          <w:lang w:val="de-DE"/>
        </w:rPr>
        <w:t>a na radu, doskutovala</w:t>
      </w:r>
      <w:r w:rsidR="00AA718F">
        <w:rPr>
          <w:lang w:val="de-DE"/>
        </w:rPr>
        <w:t xml:space="preserve"> s</w:t>
      </w:r>
      <w:r w:rsidR="00302355">
        <w:rPr>
          <w:lang w:val="de-DE"/>
        </w:rPr>
        <w:t>am o ajtemima skale</w:t>
      </w:r>
      <w:r w:rsidR="00327327">
        <w:rPr>
          <w:lang w:val="de-DE"/>
        </w:rPr>
        <w:t xml:space="preserve"> i mogućnostima njene međunarodne primene</w:t>
      </w:r>
      <w:r>
        <w:rPr>
          <w:lang w:val="de-DE"/>
        </w:rPr>
        <w:t xml:space="preserve">. Učestvovala sam u ekspertskoj oceni prikladnosti sadržaja ajtema i diskusiji prvih psihometrijskih analiza ajtema. </w:t>
      </w:r>
    </w:p>
    <w:p w:rsidR="00302355" w:rsidRPr="00CE0D7F" w:rsidRDefault="00302355" w:rsidP="00302355">
      <w:pPr>
        <w:pStyle w:val="NormalWeb"/>
        <w:spacing w:before="0" w:beforeAutospacing="0" w:after="0" w:afterAutospacing="0"/>
        <w:ind w:left="1496"/>
        <w:jc w:val="both"/>
        <w:rPr>
          <w:sz w:val="10"/>
          <w:szCs w:val="10"/>
          <w:lang w:val="de-DE"/>
        </w:rPr>
      </w:pPr>
    </w:p>
    <w:p w:rsidR="00A75B1F" w:rsidRPr="00327327" w:rsidRDefault="00171720" w:rsidP="00C9654E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i/>
          <w:lang w:val="de-DE"/>
        </w:rPr>
      </w:pPr>
      <w:r w:rsidRPr="008F2DE6">
        <w:rPr>
          <w:i/>
          <w:lang w:val="de-DE"/>
        </w:rPr>
        <w:t>Dizajniranje novog istraživanja.</w:t>
      </w:r>
      <w:r w:rsidRPr="00171720">
        <w:rPr>
          <w:i/>
          <w:lang w:val="de-DE"/>
        </w:rPr>
        <w:t xml:space="preserve"> </w:t>
      </w:r>
      <w:r w:rsidRPr="00171720">
        <w:rPr>
          <w:lang w:val="de-DE"/>
        </w:rPr>
        <w:t>Sastanak pomenute is</w:t>
      </w:r>
      <w:r>
        <w:rPr>
          <w:lang w:val="de-DE"/>
        </w:rPr>
        <w:t>traživačke grupe iskorišćen je za pravljenje plana o budućim istraživanjima (kvantitativnim i kvalitativnim). Tom prilikom nastao je nacrt kvalitativnog istraživanja</w:t>
      </w:r>
      <w:r w:rsidR="004C278B">
        <w:rPr>
          <w:lang w:val="de-DE"/>
        </w:rPr>
        <w:t xml:space="preserve"> za</w:t>
      </w:r>
      <w:r>
        <w:rPr>
          <w:lang w:val="de-DE"/>
        </w:rPr>
        <w:t xml:space="preserve"> </w:t>
      </w:r>
      <w:r w:rsidR="004C278B">
        <w:rPr>
          <w:lang w:val="de-DE"/>
        </w:rPr>
        <w:t>čije učesnike</w:t>
      </w:r>
      <w:r>
        <w:rPr>
          <w:lang w:val="de-DE"/>
        </w:rPr>
        <w:t xml:space="preserve"> su</w:t>
      </w:r>
      <w:r w:rsidR="004C278B">
        <w:rPr>
          <w:lang w:val="de-DE"/>
        </w:rPr>
        <w:t xml:space="preserve"> planirane</w:t>
      </w:r>
      <w:r>
        <w:rPr>
          <w:lang w:val="de-DE"/>
        </w:rPr>
        <w:t xml:space="preserve"> žrtve zlostavljanja na radu.</w:t>
      </w:r>
      <w:r w:rsidR="004C278B">
        <w:rPr>
          <w:lang w:val="de-DE"/>
        </w:rPr>
        <w:t xml:space="preserve"> </w:t>
      </w:r>
      <w:r w:rsidR="004C278B" w:rsidRPr="00327327">
        <w:rPr>
          <w:lang w:val="de-DE"/>
        </w:rPr>
        <w:t>Po povratku u Notingem i do kraja mog boravka</w:t>
      </w:r>
      <w:r w:rsidR="00327327" w:rsidRPr="00327327">
        <w:rPr>
          <w:lang w:val="de-DE"/>
        </w:rPr>
        <w:t xml:space="preserve"> zajedno sa profesorom Ianom Kojnom i njegovim doktorantom Semom Farlijem</w:t>
      </w:r>
      <w:r w:rsidR="00327327">
        <w:rPr>
          <w:lang w:val="de-DE"/>
        </w:rPr>
        <w:t xml:space="preserve"> razvijala sam </w:t>
      </w:r>
      <w:r w:rsidR="0022446A" w:rsidRPr="00327327">
        <w:rPr>
          <w:lang w:val="de-DE"/>
        </w:rPr>
        <w:t>vodič</w:t>
      </w:r>
      <w:r w:rsidR="004C278B" w:rsidRPr="00327327">
        <w:rPr>
          <w:lang w:val="de-DE"/>
        </w:rPr>
        <w:t xml:space="preserve"> za </w:t>
      </w:r>
      <w:r w:rsidR="00327327">
        <w:rPr>
          <w:lang w:val="de-DE"/>
        </w:rPr>
        <w:t xml:space="preserve">istraživački </w:t>
      </w:r>
      <w:r w:rsidR="004C278B" w:rsidRPr="00327327">
        <w:rPr>
          <w:lang w:val="de-DE"/>
        </w:rPr>
        <w:t>intervju.</w:t>
      </w:r>
    </w:p>
    <w:p w:rsidR="00101FF8" w:rsidRPr="00327327" w:rsidRDefault="00101FF8" w:rsidP="004C278B">
      <w:pPr>
        <w:pStyle w:val="NormalWeb"/>
        <w:spacing w:before="0" w:beforeAutospacing="0" w:after="0" w:afterAutospacing="0"/>
        <w:ind w:left="1496"/>
        <w:jc w:val="both"/>
        <w:rPr>
          <w:lang w:val="de-DE"/>
        </w:rPr>
      </w:pPr>
    </w:p>
    <w:p w:rsidR="00890FDA" w:rsidRPr="0022446A" w:rsidRDefault="008F2DE6" w:rsidP="004C278B">
      <w:pPr>
        <w:pStyle w:val="NormalWeb"/>
        <w:numPr>
          <w:ilvl w:val="0"/>
          <w:numId w:val="3"/>
        </w:numPr>
        <w:spacing w:before="0" w:beforeAutospacing="0" w:after="0" w:afterAutospacing="0"/>
        <w:ind w:left="778"/>
        <w:jc w:val="both"/>
        <w:rPr>
          <w:i/>
          <w:lang w:val="de-DE"/>
        </w:rPr>
      </w:pPr>
      <w:r w:rsidRPr="008F2DE6">
        <w:rPr>
          <w:i/>
          <w:lang w:val="de-DE"/>
        </w:rPr>
        <w:t>Opserviranje rada istraživača, uključivanje u rad na praktičnim projektima</w:t>
      </w:r>
      <w:r w:rsidR="00005B87">
        <w:rPr>
          <w:i/>
          <w:lang w:val="de-DE"/>
        </w:rPr>
        <w:t>.</w:t>
      </w:r>
      <w:r w:rsidRPr="008F2DE6">
        <w:rPr>
          <w:i/>
          <w:lang w:val="de-DE"/>
        </w:rPr>
        <w:t xml:space="preserve">  </w:t>
      </w:r>
      <w:r w:rsidR="004C278B">
        <w:rPr>
          <w:lang w:val="de-DE"/>
        </w:rPr>
        <w:t xml:space="preserve">Tokom studijske posete </w:t>
      </w:r>
      <w:r w:rsidR="00960B4A">
        <w:rPr>
          <w:lang w:val="de-DE"/>
        </w:rPr>
        <w:t>bila sam prisutna</w:t>
      </w:r>
      <w:r w:rsidR="00113DC9">
        <w:rPr>
          <w:lang w:val="de-DE"/>
        </w:rPr>
        <w:t xml:space="preserve"> na više različitih sastanaka Istraživa</w:t>
      </w:r>
      <w:r w:rsidR="00327327">
        <w:rPr>
          <w:lang w:val="de-DE"/>
        </w:rPr>
        <w:t xml:space="preserve">čke grupe za psihologiju rada. </w:t>
      </w:r>
      <w:r w:rsidR="00113DC9">
        <w:rPr>
          <w:lang w:val="de-DE"/>
        </w:rPr>
        <w:t xml:space="preserve">Moja poseta koincidirala je sa jednim manjim praktičnim projektom </w:t>
      </w:r>
      <w:r w:rsidR="00327327">
        <w:rPr>
          <w:lang w:val="de-DE"/>
        </w:rPr>
        <w:t>koji je deo master rada studentkinje koju supervizira profesor Kojn. Ovo istraživanje je</w:t>
      </w:r>
      <w:r w:rsidR="00113DC9">
        <w:rPr>
          <w:lang w:val="de-DE"/>
        </w:rPr>
        <w:t xml:space="preserve"> inicirala lokalna organizacija</w:t>
      </w:r>
      <w:r w:rsidR="005627A3">
        <w:rPr>
          <w:lang w:val="de-DE"/>
        </w:rPr>
        <w:t xml:space="preserve"> (sa kojom Istraživačka grupa neko</w:t>
      </w:r>
      <w:r w:rsidR="00327327">
        <w:rPr>
          <w:lang w:val="de-DE"/>
        </w:rPr>
        <w:t>mercijalno sarađuje u cilju sprovođenja različitih istraživačkih projekata</w:t>
      </w:r>
      <w:r w:rsidR="005627A3">
        <w:rPr>
          <w:lang w:val="de-DE"/>
        </w:rPr>
        <w:t>)</w:t>
      </w:r>
      <w:r w:rsidR="00113DC9">
        <w:rPr>
          <w:lang w:val="de-DE"/>
        </w:rPr>
        <w:t xml:space="preserve"> koja je želela da joj istraživači iz grupe pomognu u razvoju </w:t>
      </w:r>
      <w:r w:rsidR="005627A3">
        <w:rPr>
          <w:lang w:val="de-DE"/>
        </w:rPr>
        <w:t>procedura za zaštitu zlostavljanja na nivou cele organizacije. Izr</w:t>
      </w:r>
      <w:r w:rsidR="00327327">
        <w:rPr>
          <w:lang w:val="de-DE"/>
        </w:rPr>
        <w:t xml:space="preserve">adi procedura prethodilo je </w:t>
      </w:r>
      <w:r w:rsidR="005627A3">
        <w:rPr>
          <w:lang w:val="de-DE"/>
        </w:rPr>
        <w:t xml:space="preserve">istraživanje načina na koji zaposleni doživljavaju zlostavljanje na radu. Ja sam bila uključena u izradu nacrta istraživanja i pitanja za tehniku kritičnih incidenata koju bi istraživači koristili za istraživanje ove pojave u tom organizacionom kontekstu. </w:t>
      </w:r>
      <w:r w:rsidR="000E5ED6">
        <w:rPr>
          <w:lang w:val="de-DE"/>
        </w:rPr>
        <w:t>Ovo je bilo veoma korisno iskustvo u kontekstu primene paradigme „naučnik-praktičar“ koja se u psihologiji rada zastupa kao najadekvatniji model za proučavanje koncepata u ovoj oblasti.</w:t>
      </w:r>
    </w:p>
    <w:p w:rsidR="0034274B" w:rsidRDefault="0034274B" w:rsidP="004C278B">
      <w:pPr>
        <w:pStyle w:val="NormalWeb"/>
        <w:numPr>
          <w:ilvl w:val="0"/>
          <w:numId w:val="3"/>
        </w:numPr>
        <w:spacing w:before="0" w:beforeAutospacing="0" w:after="0" w:afterAutospacing="0"/>
        <w:ind w:left="778"/>
        <w:jc w:val="both"/>
        <w:rPr>
          <w:i/>
          <w:lang w:val="de-DE"/>
        </w:rPr>
      </w:pPr>
      <w:r>
        <w:rPr>
          <w:i/>
          <w:lang w:val="de-DE"/>
        </w:rPr>
        <w:lastRenderedPageBreak/>
        <w:t>I</w:t>
      </w:r>
      <w:r w:rsidRPr="0034274B">
        <w:rPr>
          <w:i/>
          <w:lang w:val="de-DE"/>
        </w:rPr>
        <w:t>nformisanje o načinima rada na većim projektima vezanim za oblast psihologije rada</w:t>
      </w:r>
      <w:r w:rsidR="00005B87">
        <w:rPr>
          <w:i/>
          <w:lang w:val="de-DE"/>
        </w:rPr>
        <w:t xml:space="preserve"> i informisanje o radu Univerziteta i Departmana.</w:t>
      </w:r>
      <w:r w:rsidR="004C278B">
        <w:rPr>
          <w:lang w:val="de-DE"/>
        </w:rPr>
        <w:t xml:space="preserve"> Jedan deo boravka u Notingemu iskoristila sam za upoznavanje i sa radom Univerziteta, departmana korišćenjem njihovih on-line resursa dostupnih samo registovanim istraživačima, studentima i nastavnicima (intranet) i obilaskom</w:t>
      </w:r>
      <w:r w:rsidR="00377FE0">
        <w:rPr>
          <w:lang w:val="de-DE"/>
        </w:rPr>
        <w:t xml:space="preserve"> </w:t>
      </w:r>
      <w:r w:rsidR="004C278B">
        <w:rPr>
          <w:lang w:val="de-DE"/>
        </w:rPr>
        <w:t>univerzitetskih objekata</w:t>
      </w:r>
      <w:r w:rsidR="00377FE0">
        <w:rPr>
          <w:lang w:val="de-DE"/>
        </w:rPr>
        <w:t xml:space="preserve"> (poput studentske unije, savetovališta za studente i sl.)</w:t>
      </w:r>
      <w:r w:rsidR="004C278B">
        <w:rPr>
          <w:lang w:val="de-DE"/>
        </w:rPr>
        <w:t xml:space="preserve">. </w:t>
      </w:r>
      <w:r w:rsidR="00327327">
        <w:rPr>
          <w:lang w:val="de-DE"/>
        </w:rPr>
        <w:t>Takođe, jedan deo vremena sam iskoristila i za istraživanje i raspitivanje o načinima finansiranja projekta iz oblasti psihologije rada i iskustvima profesora Kojna.</w:t>
      </w:r>
    </w:p>
    <w:p w:rsidR="00CE0D7F" w:rsidRPr="00CE0D7F" w:rsidRDefault="00CE0D7F" w:rsidP="00A26416">
      <w:pPr>
        <w:pStyle w:val="NormalWeb"/>
        <w:spacing w:before="0" w:beforeAutospacing="0" w:after="0" w:afterAutospacing="0"/>
        <w:jc w:val="center"/>
        <w:rPr>
          <w:b/>
          <w:sz w:val="10"/>
          <w:szCs w:val="10"/>
          <w:lang w:val="de-DE"/>
        </w:rPr>
      </w:pPr>
    </w:p>
    <w:p w:rsidR="00A26416" w:rsidRPr="00D11DB7" w:rsidRDefault="00A26416" w:rsidP="00A26416">
      <w:pPr>
        <w:pStyle w:val="NormalWeb"/>
        <w:spacing w:before="0" w:beforeAutospacing="0" w:after="0" w:afterAutospacing="0"/>
        <w:jc w:val="center"/>
        <w:rPr>
          <w:sz w:val="20"/>
          <w:szCs w:val="20"/>
          <w:lang w:val="de-DE"/>
        </w:rPr>
      </w:pPr>
      <w:r w:rsidRPr="00D11DB7">
        <w:rPr>
          <w:b/>
          <w:sz w:val="20"/>
          <w:szCs w:val="20"/>
          <w:lang w:val="de-DE"/>
        </w:rPr>
        <w:t>Tabela 1.</w:t>
      </w:r>
      <w:r w:rsidRPr="00D11DB7">
        <w:rPr>
          <w:sz w:val="20"/>
          <w:szCs w:val="20"/>
          <w:lang w:val="de-DE"/>
        </w:rPr>
        <w:t xml:space="preserve"> Trajanje svake opisane aktivnosti</w:t>
      </w:r>
      <w:r w:rsidR="00335E59" w:rsidRPr="00D11DB7">
        <w:rPr>
          <w:sz w:val="20"/>
          <w:szCs w:val="20"/>
          <w:lang w:val="de-DE"/>
        </w:rPr>
        <w:t>**</w:t>
      </w:r>
    </w:p>
    <w:p w:rsidR="00A26416" w:rsidRPr="00A26416" w:rsidRDefault="00A26416" w:rsidP="00A26416">
      <w:pPr>
        <w:pStyle w:val="NormalWeb"/>
        <w:spacing w:before="0" w:beforeAutospacing="0" w:after="0" w:afterAutospacing="0"/>
        <w:jc w:val="center"/>
        <w:rPr>
          <w:sz w:val="10"/>
          <w:szCs w:val="10"/>
          <w:lang w:val="de-DE"/>
        </w:rPr>
      </w:pPr>
    </w:p>
    <w:tbl>
      <w:tblPr>
        <w:tblStyle w:val="TableGrid"/>
        <w:tblW w:w="11622" w:type="dxa"/>
        <w:jc w:val="center"/>
        <w:tblLook w:val="04A0" w:firstRow="1" w:lastRow="0" w:firstColumn="1" w:lastColumn="0" w:noHBand="0" w:noVBand="1"/>
      </w:tblPr>
      <w:tblGrid>
        <w:gridCol w:w="366"/>
        <w:gridCol w:w="321"/>
        <w:gridCol w:w="321"/>
        <w:gridCol w:w="336"/>
        <w:gridCol w:w="336"/>
        <w:gridCol w:w="336"/>
        <w:gridCol w:w="321"/>
        <w:gridCol w:w="321"/>
        <w:gridCol w:w="321"/>
        <w:gridCol w:w="32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56"/>
        <w:gridCol w:w="356"/>
        <w:gridCol w:w="356"/>
        <w:gridCol w:w="356"/>
        <w:gridCol w:w="356"/>
        <w:gridCol w:w="356"/>
        <w:gridCol w:w="356"/>
        <w:gridCol w:w="356"/>
        <w:gridCol w:w="391"/>
        <w:gridCol w:w="391"/>
        <w:gridCol w:w="391"/>
      </w:tblGrid>
      <w:tr w:rsidR="00E35E79" w:rsidTr="00335E59">
        <w:trPr>
          <w:trHeight w:val="269"/>
          <w:jc w:val="center"/>
        </w:trPr>
        <w:tc>
          <w:tcPr>
            <w:tcW w:w="36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1.</w:t>
            </w:r>
          </w:p>
        </w:tc>
        <w:tc>
          <w:tcPr>
            <w:tcW w:w="32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2.</w:t>
            </w:r>
          </w:p>
        </w:tc>
        <w:tc>
          <w:tcPr>
            <w:tcW w:w="33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3.</w:t>
            </w:r>
          </w:p>
        </w:tc>
        <w:tc>
          <w:tcPr>
            <w:tcW w:w="33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4.</w:t>
            </w:r>
          </w:p>
        </w:tc>
        <w:tc>
          <w:tcPr>
            <w:tcW w:w="33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5.</w:t>
            </w:r>
          </w:p>
        </w:tc>
        <w:tc>
          <w:tcPr>
            <w:tcW w:w="32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6.</w:t>
            </w:r>
          </w:p>
        </w:tc>
        <w:tc>
          <w:tcPr>
            <w:tcW w:w="32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7.</w:t>
            </w:r>
          </w:p>
        </w:tc>
        <w:tc>
          <w:tcPr>
            <w:tcW w:w="32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8.</w:t>
            </w:r>
          </w:p>
        </w:tc>
        <w:tc>
          <w:tcPr>
            <w:tcW w:w="32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9.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10.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11.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12.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13.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14.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15.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16.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17.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18.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19.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20.</w:t>
            </w:r>
          </w:p>
        </w:tc>
        <w:tc>
          <w:tcPr>
            <w:tcW w:w="35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21</w:t>
            </w:r>
          </w:p>
        </w:tc>
        <w:tc>
          <w:tcPr>
            <w:tcW w:w="35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22</w:t>
            </w:r>
          </w:p>
        </w:tc>
        <w:tc>
          <w:tcPr>
            <w:tcW w:w="35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23</w:t>
            </w:r>
          </w:p>
        </w:tc>
        <w:tc>
          <w:tcPr>
            <w:tcW w:w="35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24</w:t>
            </w:r>
          </w:p>
        </w:tc>
        <w:tc>
          <w:tcPr>
            <w:tcW w:w="35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25</w:t>
            </w:r>
          </w:p>
        </w:tc>
        <w:tc>
          <w:tcPr>
            <w:tcW w:w="35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26</w:t>
            </w:r>
          </w:p>
        </w:tc>
        <w:tc>
          <w:tcPr>
            <w:tcW w:w="35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27</w:t>
            </w:r>
          </w:p>
        </w:tc>
        <w:tc>
          <w:tcPr>
            <w:tcW w:w="356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 w:rsidRPr="00A26416">
              <w:rPr>
                <w:sz w:val="14"/>
                <w:szCs w:val="14"/>
                <w:lang w:val="de-DE"/>
              </w:rPr>
              <w:t>28</w:t>
            </w:r>
          </w:p>
        </w:tc>
        <w:tc>
          <w:tcPr>
            <w:tcW w:w="391" w:type="dxa"/>
          </w:tcPr>
          <w:p w:rsidR="00E35E79" w:rsidRPr="00A26416" w:rsidRDefault="00E35E79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29.</w:t>
            </w:r>
          </w:p>
        </w:tc>
        <w:tc>
          <w:tcPr>
            <w:tcW w:w="391" w:type="dxa"/>
          </w:tcPr>
          <w:p w:rsidR="00E35E79" w:rsidRDefault="0022446A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30.</w:t>
            </w:r>
          </w:p>
        </w:tc>
        <w:tc>
          <w:tcPr>
            <w:tcW w:w="391" w:type="dxa"/>
          </w:tcPr>
          <w:p w:rsidR="00E35E79" w:rsidRDefault="0022446A" w:rsidP="00005B87">
            <w:pPr>
              <w:pStyle w:val="NormalWeb"/>
              <w:spacing w:before="0" w:beforeAutospacing="0" w:after="0" w:afterAutospacing="0"/>
              <w:rPr>
                <w:sz w:val="14"/>
                <w:szCs w:val="14"/>
                <w:lang w:val="de-DE"/>
              </w:rPr>
            </w:pPr>
            <w:r>
              <w:rPr>
                <w:sz w:val="14"/>
                <w:szCs w:val="14"/>
                <w:lang w:val="de-DE"/>
              </w:rPr>
              <w:t>31.</w:t>
            </w:r>
          </w:p>
        </w:tc>
      </w:tr>
      <w:tr w:rsidR="00335E59" w:rsidTr="00335E59">
        <w:trPr>
          <w:jc w:val="center"/>
        </w:trPr>
        <w:tc>
          <w:tcPr>
            <w:tcW w:w="236" w:type="dxa"/>
          </w:tcPr>
          <w:p w:rsidR="00E35E79" w:rsidRPr="00960B4A" w:rsidRDefault="00E35E79" w:rsidP="00335E59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de-DE"/>
              </w:rPr>
            </w:pPr>
            <w:r w:rsidRPr="00960B4A">
              <w:rPr>
                <w:b/>
                <w:sz w:val="20"/>
                <w:szCs w:val="20"/>
                <w:lang w:val="de-DE"/>
              </w:rPr>
              <w:t>1.</w:t>
            </w:r>
          </w:p>
        </w:tc>
        <w:tc>
          <w:tcPr>
            <w:tcW w:w="32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2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E35E79" w:rsidRPr="000E5ED6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  <w:tc>
          <w:tcPr>
            <w:tcW w:w="336" w:type="dxa"/>
            <w:shd w:val="clear" w:color="auto" w:fill="FFFFFF" w:themeFill="background1"/>
          </w:tcPr>
          <w:p w:rsidR="00E35E79" w:rsidRPr="000E5ED6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  <w:tc>
          <w:tcPr>
            <w:tcW w:w="336" w:type="dxa"/>
            <w:shd w:val="clear" w:color="auto" w:fill="FFFF00"/>
          </w:tcPr>
          <w:p w:rsidR="00E35E79" w:rsidRPr="000E5ED6" w:rsidRDefault="00E35E79" w:rsidP="000E5ED6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2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2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2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E35E79" w:rsidRPr="000E5ED6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  <w:tc>
          <w:tcPr>
            <w:tcW w:w="391" w:type="dxa"/>
            <w:shd w:val="clear" w:color="auto" w:fill="FFFFFF" w:themeFill="background1"/>
          </w:tcPr>
          <w:p w:rsidR="00E35E79" w:rsidRPr="000E5ED6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E35E79" w:rsidRPr="000E5ED6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  <w:tc>
          <w:tcPr>
            <w:tcW w:w="391" w:type="dxa"/>
            <w:shd w:val="clear" w:color="auto" w:fill="FFFFFF" w:themeFill="background1"/>
          </w:tcPr>
          <w:p w:rsidR="00E35E79" w:rsidRPr="000E5ED6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56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56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56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E35E79" w:rsidRPr="000E5ED6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  <w:tc>
          <w:tcPr>
            <w:tcW w:w="356" w:type="dxa"/>
            <w:shd w:val="clear" w:color="auto" w:fill="FFFFFF" w:themeFill="background1"/>
          </w:tcPr>
          <w:p w:rsidR="00E35E79" w:rsidRPr="000E5ED6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  <w:tc>
          <w:tcPr>
            <w:tcW w:w="356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56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56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FFFF00"/>
          </w:tcPr>
          <w:p w:rsidR="00E35E79" w:rsidRPr="005627A3" w:rsidRDefault="00E35E79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</w:p>
        </w:tc>
        <w:tc>
          <w:tcPr>
            <w:tcW w:w="391" w:type="dxa"/>
            <w:shd w:val="clear" w:color="auto" w:fill="auto"/>
          </w:tcPr>
          <w:p w:rsidR="00E35E79" w:rsidRPr="005627A3" w:rsidRDefault="0022446A" w:rsidP="00005B87">
            <w:pPr>
              <w:pStyle w:val="NormalWeb"/>
              <w:spacing w:before="0" w:beforeAutospacing="0" w:after="0" w:afterAutospacing="0"/>
              <w:rPr>
                <w:highlight w:val="yellow"/>
                <w:lang w:val="de-DE"/>
              </w:rPr>
            </w:pPr>
            <w:r w:rsidRPr="000E5ED6">
              <w:rPr>
                <w:lang w:val="de-DE"/>
              </w:rPr>
              <w:t>*</w:t>
            </w:r>
          </w:p>
        </w:tc>
      </w:tr>
      <w:tr w:rsidR="00E35E79" w:rsidTr="00335E59">
        <w:trPr>
          <w:jc w:val="center"/>
        </w:trPr>
        <w:tc>
          <w:tcPr>
            <w:tcW w:w="236" w:type="dxa"/>
          </w:tcPr>
          <w:p w:rsidR="00E35E79" w:rsidRPr="00960B4A" w:rsidRDefault="00E35E79" w:rsidP="00005B87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de-DE"/>
              </w:rPr>
            </w:pPr>
            <w:r w:rsidRPr="00960B4A">
              <w:rPr>
                <w:b/>
                <w:sz w:val="20"/>
                <w:szCs w:val="20"/>
                <w:lang w:val="de-DE"/>
              </w:rPr>
              <w:t>2.</w:t>
            </w:r>
          </w:p>
        </w:tc>
        <w:tc>
          <w:tcPr>
            <w:tcW w:w="32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36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36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>
              <w:rPr>
                <w:lang w:val="de-DE"/>
              </w:rPr>
              <w:t>*</w:t>
            </w:r>
          </w:p>
        </w:tc>
        <w:tc>
          <w:tcPr>
            <w:tcW w:w="32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  <w:shd w:val="clear" w:color="auto" w:fill="95B3D7" w:themeFill="accent1" w:themeFillTint="99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</w:tr>
      <w:tr w:rsidR="00E35E79" w:rsidTr="00335E59">
        <w:trPr>
          <w:jc w:val="center"/>
        </w:trPr>
        <w:tc>
          <w:tcPr>
            <w:tcW w:w="236" w:type="dxa"/>
          </w:tcPr>
          <w:p w:rsidR="00E35E79" w:rsidRPr="00960B4A" w:rsidRDefault="00E35E79" w:rsidP="00005B87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  <w:lang w:val="de-DE"/>
              </w:rPr>
            </w:pPr>
            <w:r w:rsidRPr="00960B4A">
              <w:rPr>
                <w:b/>
                <w:sz w:val="20"/>
                <w:szCs w:val="20"/>
                <w:lang w:val="de-DE"/>
              </w:rPr>
              <w:t>3.</w:t>
            </w:r>
          </w:p>
        </w:tc>
        <w:tc>
          <w:tcPr>
            <w:tcW w:w="32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3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3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36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2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>
              <w:rPr>
                <w:lang w:val="de-DE"/>
              </w:rPr>
              <w:t>*</w:t>
            </w:r>
          </w:p>
        </w:tc>
        <w:tc>
          <w:tcPr>
            <w:tcW w:w="356" w:type="dxa"/>
            <w:shd w:val="clear" w:color="auto" w:fill="FFFFFF" w:themeFill="background1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  <w:r>
              <w:rPr>
                <w:lang w:val="de-DE"/>
              </w:rPr>
              <w:t>*</w:t>
            </w:r>
          </w:p>
        </w:tc>
        <w:tc>
          <w:tcPr>
            <w:tcW w:w="356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56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  <w:tc>
          <w:tcPr>
            <w:tcW w:w="391" w:type="dxa"/>
            <w:shd w:val="clear" w:color="auto" w:fill="E5B8B7" w:themeFill="accent2" w:themeFillTint="66"/>
          </w:tcPr>
          <w:p w:rsidR="00E35E79" w:rsidRDefault="00E35E79" w:rsidP="00005B87">
            <w:pPr>
              <w:pStyle w:val="NormalWeb"/>
              <w:spacing w:before="0" w:beforeAutospacing="0" w:after="0" w:afterAutospacing="0"/>
              <w:rPr>
                <w:lang w:val="de-DE"/>
              </w:rPr>
            </w:pPr>
          </w:p>
        </w:tc>
      </w:tr>
    </w:tbl>
    <w:p w:rsidR="000E5ED6" w:rsidRPr="00FE387F" w:rsidRDefault="000E5ED6" w:rsidP="000E5ED6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E387F">
        <w:rPr>
          <w:rFonts w:eastAsiaTheme="minorHAnsi"/>
          <w:b/>
          <w:i/>
          <w:sz w:val="20"/>
          <w:szCs w:val="20"/>
        </w:rPr>
        <w:t>*</w:t>
      </w:r>
      <w:r w:rsidRPr="00FE387F">
        <w:rPr>
          <w:sz w:val="20"/>
          <w:szCs w:val="20"/>
        </w:rPr>
        <w:t>Vikendi</w:t>
      </w:r>
    </w:p>
    <w:p w:rsidR="000E5ED6" w:rsidRPr="00FE387F" w:rsidRDefault="000E5ED6" w:rsidP="000E5ED6">
      <w:pPr>
        <w:pStyle w:val="NormalWeb"/>
        <w:spacing w:before="0" w:beforeAutospacing="0" w:after="0" w:afterAutospacing="0"/>
        <w:rPr>
          <w:rFonts w:eastAsiaTheme="minorHAnsi"/>
          <w:b/>
          <w:i/>
          <w:sz w:val="20"/>
          <w:szCs w:val="20"/>
        </w:rPr>
      </w:pPr>
      <w:r w:rsidRPr="00FE387F">
        <w:rPr>
          <w:sz w:val="20"/>
          <w:szCs w:val="20"/>
        </w:rPr>
        <w:t>**Za opis aktivnosti pod specifikovanim rednim brojem pogledati prethodnu stranicu</w:t>
      </w:r>
    </w:p>
    <w:p w:rsidR="00835C78" w:rsidRPr="00FE387F" w:rsidRDefault="00835C78" w:rsidP="00835C78">
      <w:pPr>
        <w:pStyle w:val="NormalWeb"/>
        <w:spacing w:before="0" w:beforeAutospacing="0" w:after="0" w:afterAutospacing="0"/>
        <w:rPr>
          <w:rFonts w:eastAsiaTheme="minorHAnsi"/>
          <w:b/>
          <w:i/>
        </w:rPr>
      </w:pPr>
    </w:p>
    <w:p w:rsidR="00890FDA" w:rsidRDefault="00890FDA" w:rsidP="00835C78">
      <w:pPr>
        <w:pStyle w:val="NormalWeb"/>
        <w:spacing w:before="0" w:beforeAutospacing="0" w:after="0" w:afterAutospacing="0"/>
        <w:contextualSpacing/>
        <w:rPr>
          <w:rFonts w:eastAsiaTheme="minorHAnsi"/>
          <w:b/>
          <w:i/>
          <w:lang w:val="de-DE"/>
        </w:rPr>
      </w:pPr>
      <w:r w:rsidRPr="00C9654E">
        <w:rPr>
          <w:rFonts w:eastAsiaTheme="minorHAnsi"/>
          <w:b/>
          <w:i/>
          <w:lang w:val="de-DE"/>
        </w:rPr>
        <w:t xml:space="preserve">Rezultati </w:t>
      </w:r>
      <w:r w:rsidR="00C9654E" w:rsidRPr="00C9654E">
        <w:rPr>
          <w:rFonts w:eastAsiaTheme="minorHAnsi"/>
          <w:b/>
          <w:i/>
          <w:lang w:val="de-DE"/>
        </w:rPr>
        <w:t xml:space="preserve">studijske posete </w:t>
      </w:r>
    </w:p>
    <w:p w:rsidR="00835C78" w:rsidRDefault="00835C78" w:rsidP="00835C78">
      <w:pPr>
        <w:pStyle w:val="NormalWeb"/>
        <w:spacing w:before="0" w:beforeAutospacing="0" w:after="0" w:afterAutospacing="0"/>
        <w:contextualSpacing/>
        <w:rPr>
          <w:rFonts w:eastAsiaTheme="minorHAnsi"/>
          <w:b/>
          <w:i/>
          <w:lang w:val="de-DE"/>
        </w:rPr>
      </w:pPr>
    </w:p>
    <w:p w:rsidR="00377FE0" w:rsidRPr="000B6F08" w:rsidRDefault="00327327" w:rsidP="00960B4A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Theme="minorHAnsi"/>
          <w:b/>
          <w:i/>
          <w:lang w:val="de-DE"/>
        </w:rPr>
      </w:pPr>
      <w:r w:rsidRPr="000B6F08">
        <w:rPr>
          <w:rFonts w:eastAsiaTheme="minorHAnsi"/>
          <w:lang w:val="de-DE"/>
        </w:rPr>
        <w:t>Uspostavljanje</w:t>
      </w:r>
      <w:r w:rsidR="00377FE0" w:rsidRPr="000B6F08">
        <w:rPr>
          <w:rFonts w:eastAsiaTheme="minorHAnsi"/>
          <w:lang w:val="de-DE"/>
        </w:rPr>
        <w:t xml:space="preserve"> dugoročne</w:t>
      </w:r>
      <w:r w:rsidRPr="000B6F08">
        <w:rPr>
          <w:rFonts w:eastAsiaTheme="minorHAnsi"/>
          <w:lang w:val="de-DE"/>
        </w:rPr>
        <w:t xml:space="preserve"> saradnje sa profesorom Kojnom</w:t>
      </w:r>
      <w:r w:rsidR="000B6F08">
        <w:rPr>
          <w:rFonts w:eastAsiaTheme="minorHAnsi"/>
          <w:lang w:val="de-DE"/>
        </w:rPr>
        <w:t xml:space="preserve"> i to kroz</w:t>
      </w:r>
      <w:r w:rsidR="00377FE0">
        <w:rPr>
          <w:rFonts w:eastAsiaTheme="minorHAnsi"/>
          <w:lang w:val="de-DE"/>
        </w:rPr>
        <w:t xml:space="preserve"> rad na istraživačkom projektu koji se nastavio nakon završetka studijskog boravka </w:t>
      </w:r>
      <w:r w:rsidR="009F168D">
        <w:rPr>
          <w:rFonts w:eastAsiaTheme="minorHAnsi"/>
          <w:lang w:val="de-DE"/>
        </w:rPr>
        <w:t xml:space="preserve">i </w:t>
      </w:r>
      <w:r w:rsidR="000B6F08">
        <w:rPr>
          <w:rFonts w:eastAsiaTheme="minorHAnsi"/>
          <w:lang w:val="de-DE"/>
        </w:rPr>
        <w:t>kroz obećanu posetu</w:t>
      </w:r>
      <w:r w:rsidR="009F168D">
        <w:rPr>
          <w:rFonts w:eastAsiaTheme="minorHAnsi"/>
          <w:lang w:val="de-DE"/>
        </w:rPr>
        <w:t xml:space="preserve"> profesora Kojna</w:t>
      </w:r>
      <w:r w:rsidR="000B6F08">
        <w:rPr>
          <w:rFonts w:eastAsiaTheme="minorHAnsi"/>
          <w:lang w:val="de-DE"/>
        </w:rPr>
        <w:t xml:space="preserve"> Seminaru za psihologiju rada, Odeljenja za psihologiju, Filozofskog fakulteta u Beogradu </w:t>
      </w:r>
      <w:r w:rsidR="009F168D">
        <w:rPr>
          <w:rFonts w:eastAsiaTheme="minorHAnsi"/>
          <w:lang w:val="de-DE"/>
        </w:rPr>
        <w:t xml:space="preserve"> u oktobru mesecu tekuće godine.</w:t>
      </w:r>
    </w:p>
    <w:p w:rsidR="000B6F08" w:rsidRPr="00377FE0" w:rsidRDefault="000B6F08" w:rsidP="00960B4A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Theme="minorHAnsi"/>
          <w:b/>
          <w:i/>
          <w:lang w:val="de-DE"/>
        </w:rPr>
      </w:pPr>
      <w:r>
        <w:rPr>
          <w:rFonts w:eastAsiaTheme="minorHAnsi"/>
          <w:lang w:val="de-DE"/>
        </w:rPr>
        <w:t>Upoznavanje sa funkcionisanjem jednog renomiranog Univerziteta.</w:t>
      </w:r>
    </w:p>
    <w:p w:rsidR="00327327" w:rsidRPr="009F168D" w:rsidRDefault="009F168D" w:rsidP="00960B4A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Theme="minorHAnsi"/>
          <w:b/>
          <w:i/>
          <w:lang w:val="de-DE"/>
        </w:rPr>
      </w:pPr>
      <w:r>
        <w:rPr>
          <w:rFonts w:eastAsiaTheme="minorHAnsi"/>
          <w:lang w:val="de-DE"/>
        </w:rPr>
        <w:t>Informisanje o načinu funkcionisanja jednog departmana</w:t>
      </w:r>
      <w:r w:rsidR="000B6F08">
        <w:rPr>
          <w:rFonts w:eastAsiaTheme="minorHAnsi"/>
          <w:lang w:val="de-DE"/>
        </w:rPr>
        <w:t xml:space="preserve"> za psihologiju</w:t>
      </w:r>
      <w:r>
        <w:rPr>
          <w:rFonts w:eastAsiaTheme="minorHAnsi"/>
          <w:lang w:val="de-DE"/>
        </w:rPr>
        <w:t xml:space="preserve"> i istraživačke grupe</w:t>
      </w:r>
      <w:r w:rsidR="000B6F08">
        <w:rPr>
          <w:rFonts w:eastAsiaTheme="minorHAnsi"/>
          <w:lang w:val="de-DE"/>
        </w:rPr>
        <w:t xml:space="preserve"> za psihologiju rada</w:t>
      </w:r>
      <w:r>
        <w:rPr>
          <w:rFonts w:eastAsiaTheme="minorHAnsi"/>
          <w:lang w:val="de-DE"/>
        </w:rPr>
        <w:t>.</w:t>
      </w:r>
    </w:p>
    <w:p w:rsidR="009F168D" w:rsidRPr="000B6F08" w:rsidRDefault="009F168D" w:rsidP="00960B4A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Theme="minorHAnsi"/>
          <w:b/>
          <w:i/>
          <w:lang w:val="de-DE"/>
        </w:rPr>
      </w:pPr>
      <w:r>
        <w:rPr>
          <w:rFonts w:eastAsiaTheme="minorHAnsi"/>
          <w:lang w:val="de-DE"/>
        </w:rPr>
        <w:t xml:space="preserve">Proširivanje znanja iz oblasti </w:t>
      </w:r>
      <w:r w:rsidR="00DD0831">
        <w:rPr>
          <w:rFonts w:eastAsiaTheme="minorHAnsi"/>
          <w:lang w:val="de-DE"/>
        </w:rPr>
        <w:t xml:space="preserve">zlostavljanja na radu koje je </w:t>
      </w:r>
      <w:r w:rsidR="000B6F08">
        <w:rPr>
          <w:rFonts w:eastAsiaTheme="minorHAnsi"/>
          <w:lang w:val="de-DE"/>
        </w:rPr>
        <w:t>tema moje doktorske disertacije.</w:t>
      </w:r>
    </w:p>
    <w:p w:rsidR="000B6F08" w:rsidRPr="000B6F08" w:rsidRDefault="000B6F08" w:rsidP="00960B4A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Theme="minorHAnsi"/>
          <w:b/>
          <w:i/>
          <w:lang w:val="de-DE"/>
        </w:rPr>
      </w:pPr>
      <w:r>
        <w:rPr>
          <w:rFonts w:eastAsiaTheme="minorHAnsi"/>
          <w:lang w:val="de-DE"/>
        </w:rPr>
        <w:t>Upoznavanje i uspostavljanje saradnje sa doktorantima (koji za svoj doktorat imaju različite teme iz oblasti psihologije rada) i mladim istraživačima.</w:t>
      </w:r>
    </w:p>
    <w:p w:rsidR="000B6F08" w:rsidRPr="000B6F08" w:rsidRDefault="000B6F08" w:rsidP="00960B4A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eastAsiaTheme="minorHAnsi"/>
          <w:b/>
          <w:i/>
          <w:lang w:val="de-DE"/>
        </w:rPr>
      </w:pPr>
      <w:r>
        <w:rPr>
          <w:rFonts w:eastAsiaTheme="minorHAnsi"/>
          <w:lang w:val="de-DE"/>
        </w:rPr>
        <w:t xml:space="preserve">Mogućnost produženog korišćenja resursa Univerziteta u Notingemu (intraneta i bibliotečkog fonda) sa </w:t>
      </w:r>
      <w:r w:rsidR="005571A4">
        <w:rPr>
          <w:rFonts w:eastAsiaTheme="minorHAnsi"/>
          <w:lang w:val="de-DE"/>
        </w:rPr>
        <w:t>on line pristupom koji sam dobila na korišćenje.</w:t>
      </w:r>
    </w:p>
    <w:p w:rsidR="00327327" w:rsidRDefault="00327327" w:rsidP="00327327">
      <w:pPr>
        <w:pStyle w:val="NormalWeb"/>
        <w:spacing w:before="0" w:beforeAutospacing="0" w:after="0" w:afterAutospacing="0"/>
        <w:contextualSpacing/>
        <w:rPr>
          <w:rFonts w:eastAsiaTheme="minorHAnsi"/>
          <w:b/>
          <w:i/>
          <w:lang w:val="de-DE"/>
        </w:rPr>
      </w:pPr>
    </w:p>
    <w:p w:rsidR="000E5ED6" w:rsidRPr="00327327" w:rsidRDefault="000E5ED6" w:rsidP="00327327">
      <w:pPr>
        <w:pStyle w:val="NormalWeb"/>
        <w:spacing w:before="0" w:beforeAutospacing="0" w:after="0" w:afterAutospacing="0"/>
        <w:contextualSpacing/>
        <w:rPr>
          <w:rFonts w:eastAsiaTheme="minorHAnsi"/>
          <w:b/>
          <w:i/>
          <w:lang w:val="de-DE"/>
        </w:rPr>
      </w:pPr>
      <w:r w:rsidRPr="00327327">
        <w:rPr>
          <w:rFonts w:eastAsiaTheme="minorHAnsi"/>
          <w:b/>
          <w:i/>
          <w:lang w:val="de-DE"/>
        </w:rPr>
        <w:t>Troškovi posete</w:t>
      </w:r>
      <w:r w:rsidR="000B6F08">
        <w:rPr>
          <w:rStyle w:val="FootnoteReference"/>
          <w:rFonts w:eastAsiaTheme="minorHAnsi"/>
          <w:b/>
          <w:i/>
          <w:lang w:val="de-DE"/>
        </w:rPr>
        <w:footnoteReference w:id="2"/>
      </w:r>
    </w:p>
    <w:p w:rsidR="000E5ED6" w:rsidRDefault="000E5ED6" w:rsidP="00835C78">
      <w:pPr>
        <w:pStyle w:val="NormalWeb"/>
        <w:spacing w:before="0" w:beforeAutospacing="0" w:after="0" w:afterAutospacing="0"/>
        <w:contextualSpacing/>
        <w:rPr>
          <w:rFonts w:eastAsiaTheme="minorHAnsi"/>
          <w:b/>
          <w:i/>
          <w:lang w:val="de-D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2215"/>
        <w:gridCol w:w="1469"/>
      </w:tblGrid>
      <w:tr w:rsidR="005571A4" w:rsidRPr="00E71D04" w:rsidTr="005571A4">
        <w:trPr>
          <w:trHeight w:val="206"/>
        </w:trPr>
        <w:tc>
          <w:tcPr>
            <w:tcW w:w="0" w:type="auto"/>
            <w:shd w:val="clear" w:color="auto" w:fill="4F81BD"/>
          </w:tcPr>
          <w:p w:rsidR="00327327" w:rsidRPr="00D11DB7" w:rsidRDefault="00327327" w:rsidP="005571A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D11DB7">
              <w:rPr>
                <w:rFonts w:ascii="Times New Roman" w:hAnsi="Times New Roman" w:cs="Times New Roman"/>
                <w:b/>
                <w:lang w:val="de-DE"/>
              </w:rPr>
              <w:t>Vrsta troška</w:t>
            </w:r>
          </w:p>
        </w:tc>
        <w:tc>
          <w:tcPr>
            <w:tcW w:w="0" w:type="auto"/>
            <w:shd w:val="clear" w:color="auto" w:fill="4F81BD"/>
          </w:tcPr>
          <w:p w:rsidR="00327327" w:rsidRPr="00D11DB7" w:rsidRDefault="00327327" w:rsidP="005571A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D11DB7">
              <w:rPr>
                <w:rFonts w:ascii="Times New Roman" w:hAnsi="Times New Roman" w:cs="Times New Roman"/>
                <w:b/>
                <w:lang w:val="de-DE"/>
              </w:rPr>
              <w:t>Specifikacija jedinice</w:t>
            </w:r>
          </w:p>
        </w:tc>
        <w:tc>
          <w:tcPr>
            <w:tcW w:w="0" w:type="auto"/>
            <w:shd w:val="clear" w:color="auto" w:fill="4F81BD"/>
          </w:tcPr>
          <w:p w:rsidR="00327327" w:rsidRPr="00D11DB7" w:rsidRDefault="00327327" w:rsidP="005571A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D11DB7">
              <w:rPr>
                <w:rFonts w:ascii="Times New Roman" w:hAnsi="Times New Roman" w:cs="Times New Roman"/>
                <w:b/>
                <w:lang w:val="de-DE"/>
              </w:rPr>
              <w:t>Visina troška</w:t>
            </w:r>
          </w:p>
        </w:tc>
      </w:tr>
      <w:tr w:rsidR="005571A4" w:rsidRPr="00E71D04" w:rsidTr="005571A4">
        <w:trPr>
          <w:trHeight w:val="323"/>
        </w:trPr>
        <w:tc>
          <w:tcPr>
            <w:tcW w:w="0" w:type="auto"/>
          </w:tcPr>
          <w:p w:rsidR="00327327" w:rsidRPr="00D11DB7" w:rsidRDefault="00D04777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Stan</w:t>
            </w:r>
            <w:r w:rsidR="00327327" w:rsidRPr="00D11DB7">
              <w:rPr>
                <w:rFonts w:ascii="Times New Roman" w:hAnsi="Times New Roman" w:cs="Times New Roman"/>
                <w:lang w:val="de-DE"/>
              </w:rPr>
              <w:t xml:space="preserve"> u kampusu</w:t>
            </w:r>
          </w:p>
        </w:tc>
        <w:tc>
          <w:tcPr>
            <w:tcW w:w="0" w:type="auto"/>
          </w:tcPr>
          <w:p w:rsidR="00327327" w:rsidRPr="00D11DB7" w:rsidRDefault="00D04777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Jedan </w:t>
            </w:r>
            <w:r w:rsidR="00327327" w:rsidRPr="00D11DB7">
              <w:rPr>
                <w:rFonts w:ascii="Times New Roman" w:hAnsi="Times New Roman" w:cs="Times New Roman"/>
                <w:lang w:val="de-DE"/>
              </w:rPr>
              <w:t>mesec</w:t>
            </w:r>
          </w:p>
        </w:tc>
        <w:tc>
          <w:tcPr>
            <w:tcW w:w="0" w:type="auto"/>
          </w:tcPr>
          <w:p w:rsidR="00327327" w:rsidRPr="00D11DB7" w:rsidRDefault="00327327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£</w:t>
            </w:r>
            <w:r w:rsidR="00377FE0" w:rsidRPr="00D11DB7">
              <w:rPr>
                <w:rFonts w:ascii="Times New Roman" w:hAnsi="Times New Roman" w:cs="Times New Roman"/>
                <w:lang w:val="de-DE"/>
              </w:rPr>
              <w:t>680</w:t>
            </w:r>
            <w:r w:rsidRPr="00D11DB7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</w:tr>
      <w:tr w:rsidR="005571A4" w:rsidRPr="00E71D04" w:rsidTr="005571A4">
        <w:trPr>
          <w:trHeight w:val="296"/>
        </w:trPr>
        <w:tc>
          <w:tcPr>
            <w:tcW w:w="0" w:type="auto"/>
          </w:tcPr>
          <w:p w:rsidR="00327327" w:rsidRPr="00D11DB7" w:rsidRDefault="00327327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Avionski prevoz</w:t>
            </w:r>
          </w:p>
        </w:tc>
        <w:tc>
          <w:tcPr>
            <w:tcW w:w="0" w:type="auto"/>
          </w:tcPr>
          <w:p w:rsidR="00327327" w:rsidRPr="00D11DB7" w:rsidRDefault="00377FE0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J</w:t>
            </w:r>
            <w:r w:rsidR="00327327" w:rsidRPr="00D11DB7">
              <w:rPr>
                <w:rFonts w:ascii="Times New Roman" w:hAnsi="Times New Roman" w:cs="Times New Roman"/>
                <w:lang w:val="de-DE"/>
              </w:rPr>
              <w:t>edna povratna karta</w:t>
            </w:r>
          </w:p>
        </w:tc>
        <w:tc>
          <w:tcPr>
            <w:tcW w:w="0" w:type="auto"/>
          </w:tcPr>
          <w:p w:rsidR="00327327" w:rsidRPr="00D11DB7" w:rsidRDefault="000B6F08" w:rsidP="005571A4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 xml:space="preserve">       </w:t>
            </w:r>
            <w:r w:rsidR="00377FE0" w:rsidRPr="00D11DB7">
              <w:rPr>
                <w:rFonts w:ascii="Times New Roman" w:hAnsi="Times New Roman" w:cs="Times New Roman"/>
                <w:lang w:val="de-DE"/>
              </w:rPr>
              <w:t>£1</w:t>
            </w:r>
            <w:r w:rsidRPr="00D11DB7">
              <w:rPr>
                <w:rFonts w:ascii="Times New Roman" w:hAnsi="Times New Roman" w:cs="Times New Roman"/>
                <w:lang w:val="de-DE"/>
              </w:rPr>
              <w:t>50</w:t>
            </w:r>
          </w:p>
        </w:tc>
      </w:tr>
      <w:tr w:rsidR="005571A4" w:rsidRPr="00E71D04" w:rsidTr="00D11DB7">
        <w:trPr>
          <w:trHeight w:val="293"/>
        </w:trPr>
        <w:tc>
          <w:tcPr>
            <w:tcW w:w="0" w:type="auto"/>
          </w:tcPr>
          <w:p w:rsidR="00327327" w:rsidRPr="00D11DB7" w:rsidRDefault="00327327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DB7">
              <w:rPr>
                <w:rFonts w:ascii="Times New Roman" w:hAnsi="Times New Roman" w:cs="Times New Roman"/>
              </w:rPr>
              <w:t>Prevoz vozom od Londona do Not</w:t>
            </w:r>
            <w:r w:rsidR="00377FE0" w:rsidRPr="00D11DB7">
              <w:rPr>
                <w:rFonts w:ascii="Times New Roman" w:hAnsi="Times New Roman" w:cs="Times New Roman"/>
              </w:rPr>
              <w:t>ingema</w:t>
            </w:r>
          </w:p>
        </w:tc>
        <w:tc>
          <w:tcPr>
            <w:tcW w:w="0" w:type="auto"/>
          </w:tcPr>
          <w:p w:rsidR="00327327" w:rsidRPr="00D11DB7" w:rsidRDefault="00377FE0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Jedna povratna karta</w:t>
            </w:r>
          </w:p>
        </w:tc>
        <w:tc>
          <w:tcPr>
            <w:tcW w:w="0" w:type="auto"/>
          </w:tcPr>
          <w:p w:rsidR="00327327" w:rsidRPr="00D11DB7" w:rsidRDefault="000B6F08" w:rsidP="005571A4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 xml:space="preserve">       </w:t>
            </w:r>
            <w:r w:rsidR="00377FE0" w:rsidRPr="00D11DB7">
              <w:rPr>
                <w:rFonts w:ascii="Times New Roman" w:hAnsi="Times New Roman" w:cs="Times New Roman"/>
                <w:lang w:val="de-DE"/>
              </w:rPr>
              <w:t>£49</w:t>
            </w:r>
          </w:p>
        </w:tc>
      </w:tr>
      <w:tr w:rsidR="005571A4" w:rsidRPr="00E71D04" w:rsidTr="005571A4">
        <w:tc>
          <w:tcPr>
            <w:tcW w:w="0" w:type="auto"/>
          </w:tcPr>
          <w:p w:rsidR="00327327" w:rsidRPr="00D11DB7" w:rsidRDefault="00327327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Troškovi pribavljanja vize</w:t>
            </w:r>
          </w:p>
        </w:tc>
        <w:tc>
          <w:tcPr>
            <w:tcW w:w="0" w:type="auto"/>
          </w:tcPr>
          <w:p w:rsidR="00327327" w:rsidRPr="00D11DB7" w:rsidRDefault="00DD0831" w:rsidP="005571A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J</w:t>
            </w:r>
            <w:r w:rsidR="00327327" w:rsidRPr="00D11DB7">
              <w:rPr>
                <w:rFonts w:ascii="Times New Roman" w:hAnsi="Times New Roman" w:cs="Times New Roman"/>
                <w:lang w:val="de-DE"/>
              </w:rPr>
              <w:t>edna viza</w:t>
            </w:r>
          </w:p>
        </w:tc>
        <w:tc>
          <w:tcPr>
            <w:tcW w:w="0" w:type="auto"/>
          </w:tcPr>
          <w:p w:rsidR="00327327" w:rsidRPr="00D11DB7" w:rsidRDefault="000B6F08" w:rsidP="005571A4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 xml:space="preserve">       </w:t>
            </w:r>
            <w:r w:rsidR="00377FE0" w:rsidRPr="00D11DB7">
              <w:rPr>
                <w:rFonts w:ascii="Times New Roman" w:hAnsi="Times New Roman" w:cs="Times New Roman"/>
                <w:lang w:val="de-DE"/>
              </w:rPr>
              <w:t>£</w:t>
            </w:r>
            <w:r w:rsidR="00327327" w:rsidRPr="00D11DB7">
              <w:rPr>
                <w:rFonts w:ascii="Times New Roman" w:hAnsi="Times New Roman" w:cs="Times New Roman"/>
                <w:lang w:val="de-DE"/>
              </w:rPr>
              <w:t>8</w:t>
            </w:r>
            <w:r w:rsidR="00377FE0" w:rsidRPr="00D11DB7">
              <w:rPr>
                <w:rFonts w:ascii="Times New Roman" w:hAnsi="Times New Roman" w:cs="Times New Roman"/>
                <w:lang w:val="de-DE"/>
              </w:rPr>
              <w:t>2</w:t>
            </w:r>
            <w:r w:rsidR="00327327" w:rsidRPr="00D11DB7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</w:tr>
      <w:tr w:rsidR="005571A4" w:rsidRPr="00E71D04" w:rsidTr="00D11DB7">
        <w:trPr>
          <w:trHeight w:val="230"/>
        </w:trPr>
        <w:tc>
          <w:tcPr>
            <w:tcW w:w="0" w:type="auto"/>
          </w:tcPr>
          <w:p w:rsidR="00327327" w:rsidRPr="00D11DB7" w:rsidRDefault="00DD0831" w:rsidP="005571A4">
            <w:pPr>
              <w:spacing w:after="0" w:line="240" w:lineRule="auto"/>
              <w:jc w:val="center"/>
              <w:rPr>
                <w:color w:val="FF0000"/>
                <w:lang w:val="sr-Latn-RS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Ostali troškovi</w:t>
            </w:r>
          </w:p>
        </w:tc>
        <w:tc>
          <w:tcPr>
            <w:tcW w:w="0" w:type="auto"/>
          </w:tcPr>
          <w:p w:rsidR="00327327" w:rsidRPr="00D11DB7" w:rsidRDefault="00DD0831" w:rsidP="005571A4">
            <w:pPr>
              <w:spacing w:after="0" w:line="240" w:lineRule="auto"/>
              <w:jc w:val="center"/>
              <w:rPr>
                <w:lang w:val="sr-Latn-RS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(prevoz i ishrana)</w:t>
            </w:r>
          </w:p>
        </w:tc>
        <w:tc>
          <w:tcPr>
            <w:tcW w:w="0" w:type="auto"/>
          </w:tcPr>
          <w:p w:rsidR="00327327" w:rsidRPr="00D11DB7" w:rsidRDefault="000B6F08" w:rsidP="005571A4">
            <w:pPr>
              <w:spacing w:after="0" w:line="240" w:lineRule="auto"/>
              <w:jc w:val="center"/>
              <w:rPr>
                <w:lang w:val="sr-Latn-RS"/>
              </w:rPr>
            </w:pPr>
            <w:r w:rsidRPr="00D11DB7">
              <w:rPr>
                <w:rFonts w:ascii="Times New Roman" w:hAnsi="Times New Roman" w:cs="Times New Roman"/>
                <w:lang w:val="de-DE"/>
              </w:rPr>
              <w:t>£300</w:t>
            </w:r>
          </w:p>
        </w:tc>
      </w:tr>
    </w:tbl>
    <w:p w:rsidR="00327327" w:rsidRPr="00327327" w:rsidRDefault="005571A4" w:rsidP="005571A4">
      <w:pPr>
        <w:pStyle w:val="NormalWeb"/>
        <w:spacing w:before="0" w:beforeAutospacing="0" w:after="0" w:afterAutospacing="0"/>
        <w:contextualSpacing/>
        <w:rPr>
          <w:rFonts w:eastAsiaTheme="minorHAnsi"/>
          <w:lang w:val="de-DE"/>
        </w:rPr>
      </w:pPr>
      <w:r>
        <w:rPr>
          <w:rFonts w:eastAsiaTheme="minorHAnsi"/>
          <w:lang w:val="de-DE"/>
        </w:rPr>
        <w:br w:type="textWrapping" w:clear="all"/>
      </w:r>
    </w:p>
    <w:sectPr w:rsidR="00327327" w:rsidRPr="003273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EF" w:rsidRDefault="002A51EF" w:rsidP="00FA098F">
      <w:pPr>
        <w:spacing w:after="0" w:line="240" w:lineRule="auto"/>
      </w:pPr>
      <w:r>
        <w:separator/>
      </w:r>
    </w:p>
  </w:endnote>
  <w:endnote w:type="continuationSeparator" w:id="0">
    <w:p w:rsidR="002A51EF" w:rsidRDefault="002A51EF" w:rsidP="00FA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0E5ED6">
      <w:tc>
        <w:tcPr>
          <w:tcW w:w="918" w:type="dxa"/>
        </w:tcPr>
        <w:p w:rsidR="000E5ED6" w:rsidRPr="000E5ED6" w:rsidRDefault="000E5ED6">
          <w:pPr>
            <w:pStyle w:val="Footer"/>
            <w:jc w:val="right"/>
            <w:rPr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0E5ED6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0E5ED6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0E5ED6">
            <w:rPr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304D9" w:rsidRPr="003304D9">
            <w:rPr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0E5ED6">
            <w:rPr>
              <w:b/>
              <w:bCs/>
              <w:noProof/>
              <w:color w:val="4F81BD" w:themeColor="accent1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0E5ED6" w:rsidRDefault="000E5ED6">
          <w:pPr>
            <w:pStyle w:val="Footer"/>
          </w:pPr>
        </w:p>
      </w:tc>
    </w:tr>
  </w:tbl>
  <w:p w:rsidR="006F295F" w:rsidRDefault="006F295F" w:rsidP="00557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EF" w:rsidRDefault="002A51EF" w:rsidP="00FA098F">
      <w:pPr>
        <w:spacing w:after="0" w:line="240" w:lineRule="auto"/>
      </w:pPr>
      <w:r>
        <w:separator/>
      </w:r>
    </w:p>
  </w:footnote>
  <w:footnote w:type="continuationSeparator" w:id="0">
    <w:p w:rsidR="002A51EF" w:rsidRDefault="002A51EF" w:rsidP="00FA098F">
      <w:pPr>
        <w:spacing w:after="0" w:line="240" w:lineRule="auto"/>
      </w:pPr>
      <w:r>
        <w:continuationSeparator/>
      </w:r>
    </w:p>
  </w:footnote>
  <w:footnote w:id="1">
    <w:p w:rsidR="00D11DB7" w:rsidRDefault="00D11D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11DB7">
        <w:rPr>
          <w:rFonts w:ascii="Times New Roman" w:hAnsi="Times New Roman" w:cs="Times New Roman"/>
        </w:rPr>
        <w:t>Za izradu izveštaja pored ličnog iskustva korišćeni sledeći sajtovi:</w:t>
      </w:r>
      <w:r>
        <w:t xml:space="preserve"> </w:t>
      </w:r>
      <w:hyperlink r:id="rId1" w:history="1">
        <w:r w:rsidRPr="00946091">
          <w:rPr>
            <w:rStyle w:val="Hyperlink"/>
          </w:rPr>
          <w:t>http://www.nottingham.ac.uk/</w:t>
        </w:r>
      </w:hyperlink>
      <w:r>
        <w:t xml:space="preserve">; </w:t>
      </w:r>
      <w:hyperlink r:id="rId2" w:history="1">
        <w:r w:rsidRPr="00946091">
          <w:rPr>
            <w:rStyle w:val="Hyperlink"/>
          </w:rPr>
          <w:t>http://www.nottingham.ac.uk/research/groups/workpsychology/index.aspx</w:t>
        </w:r>
      </w:hyperlink>
      <w:r>
        <w:t xml:space="preserve">; </w:t>
      </w:r>
      <w:r w:rsidRPr="00D11DB7">
        <w:rPr>
          <w:rFonts w:ascii="Times New Roman" w:hAnsi="Times New Roman" w:cs="Times New Roman"/>
        </w:rPr>
        <w:t>intranet portal Univerziteta</w:t>
      </w:r>
      <w:r>
        <w:t xml:space="preserve"> </w:t>
      </w:r>
    </w:p>
    <w:p w:rsidR="00D11DB7" w:rsidRPr="00D11DB7" w:rsidRDefault="00D11DB7">
      <w:pPr>
        <w:pStyle w:val="FootnoteText"/>
      </w:pPr>
    </w:p>
  </w:footnote>
  <w:footnote w:id="2">
    <w:p w:rsidR="000B6F08" w:rsidRPr="00D04777" w:rsidRDefault="000B6F08">
      <w:pPr>
        <w:pStyle w:val="FootnoteText"/>
        <w:rPr>
          <w:lang w:val="sr-Latn-RS"/>
        </w:rPr>
      </w:pPr>
      <w:r w:rsidRPr="00D04777">
        <w:rPr>
          <w:rFonts w:ascii="Times New Roman" w:hAnsi="Times New Roman" w:cs="Times New Roman"/>
          <w:lang w:val="de-DE"/>
        </w:rPr>
        <w:footnoteRef/>
      </w:r>
      <w:r w:rsidRPr="00D04777">
        <w:rPr>
          <w:rFonts w:ascii="Times New Roman" w:hAnsi="Times New Roman" w:cs="Times New Roman"/>
          <w:lang w:val="de-DE"/>
        </w:rPr>
        <w:t xml:space="preserve"> Date su okvirne, a ne precizne visine troškova.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4FE5"/>
    <w:multiLevelType w:val="hybridMultilevel"/>
    <w:tmpl w:val="F16EC3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0E1"/>
    <w:multiLevelType w:val="hybridMultilevel"/>
    <w:tmpl w:val="581C9176"/>
    <w:lvl w:ilvl="0" w:tplc="04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66B74D34"/>
    <w:multiLevelType w:val="multilevel"/>
    <w:tmpl w:val="F60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B65B2"/>
    <w:multiLevelType w:val="hybridMultilevel"/>
    <w:tmpl w:val="BF6ADB96"/>
    <w:lvl w:ilvl="0" w:tplc="A628CBC0">
      <w:start w:val="1"/>
      <w:numFmt w:val="decimal"/>
      <w:lvlText w:val="%1."/>
      <w:lvlJc w:val="left"/>
      <w:pPr>
        <w:ind w:left="630" w:hanging="360"/>
      </w:pPr>
      <w:rPr>
        <w:rFonts w:ascii="Calibri" w:hAnsi="Calibri"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C8"/>
    <w:rsid w:val="00005B87"/>
    <w:rsid w:val="00011856"/>
    <w:rsid w:val="00024D57"/>
    <w:rsid w:val="000B5C55"/>
    <w:rsid w:val="000B6F08"/>
    <w:rsid w:val="000C1854"/>
    <w:rsid w:val="000D79C3"/>
    <w:rsid w:val="000E5ED6"/>
    <w:rsid w:val="00101FF8"/>
    <w:rsid w:val="00105FB9"/>
    <w:rsid w:val="001106AA"/>
    <w:rsid w:val="00113DC9"/>
    <w:rsid w:val="00150BBF"/>
    <w:rsid w:val="001644B8"/>
    <w:rsid w:val="00171720"/>
    <w:rsid w:val="001969AC"/>
    <w:rsid w:val="00203FF0"/>
    <w:rsid w:val="0022446A"/>
    <w:rsid w:val="00267BE8"/>
    <w:rsid w:val="0028207B"/>
    <w:rsid w:val="002A51EF"/>
    <w:rsid w:val="002C2992"/>
    <w:rsid w:val="002D6B2E"/>
    <w:rsid w:val="00302355"/>
    <w:rsid w:val="003103CB"/>
    <w:rsid w:val="00327327"/>
    <w:rsid w:val="003304D9"/>
    <w:rsid w:val="00335E59"/>
    <w:rsid w:val="003426CB"/>
    <w:rsid w:val="0034274B"/>
    <w:rsid w:val="0034320F"/>
    <w:rsid w:val="00356D4E"/>
    <w:rsid w:val="00357E31"/>
    <w:rsid w:val="0037502C"/>
    <w:rsid w:val="00377FE0"/>
    <w:rsid w:val="00394712"/>
    <w:rsid w:val="00396F22"/>
    <w:rsid w:val="00397335"/>
    <w:rsid w:val="003B6FD1"/>
    <w:rsid w:val="003E3317"/>
    <w:rsid w:val="00472ACC"/>
    <w:rsid w:val="004767BA"/>
    <w:rsid w:val="00481AFC"/>
    <w:rsid w:val="004B7759"/>
    <w:rsid w:val="004C278B"/>
    <w:rsid w:val="004D0B65"/>
    <w:rsid w:val="004F46F0"/>
    <w:rsid w:val="005224DA"/>
    <w:rsid w:val="00546965"/>
    <w:rsid w:val="005571A4"/>
    <w:rsid w:val="005627A3"/>
    <w:rsid w:val="0059011C"/>
    <w:rsid w:val="005953EB"/>
    <w:rsid w:val="005D2878"/>
    <w:rsid w:val="005E1A7D"/>
    <w:rsid w:val="005E4F7B"/>
    <w:rsid w:val="00601481"/>
    <w:rsid w:val="006169C8"/>
    <w:rsid w:val="00652BF8"/>
    <w:rsid w:val="00697F59"/>
    <w:rsid w:val="006F295F"/>
    <w:rsid w:val="006F59AA"/>
    <w:rsid w:val="00750915"/>
    <w:rsid w:val="00774805"/>
    <w:rsid w:val="00775E4C"/>
    <w:rsid w:val="0078016D"/>
    <w:rsid w:val="00791E52"/>
    <w:rsid w:val="007A0A17"/>
    <w:rsid w:val="00806DB9"/>
    <w:rsid w:val="0081765A"/>
    <w:rsid w:val="008261A9"/>
    <w:rsid w:val="00835C78"/>
    <w:rsid w:val="00837E30"/>
    <w:rsid w:val="0084319F"/>
    <w:rsid w:val="008505F5"/>
    <w:rsid w:val="00890FDA"/>
    <w:rsid w:val="00897AD8"/>
    <w:rsid w:val="008F18F8"/>
    <w:rsid w:val="008F1F70"/>
    <w:rsid w:val="008F2DE6"/>
    <w:rsid w:val="00906396"/>
    <w:rsid w:val="00960B4A"/>
    <w:rsid w:val="00961CA1"/>
    <w:rsid w:val="009E0C3D"/>
    <w:rsid w:val="009F168D"/>
    <w:rsid w:val="00A10D81"/>
    <w:rsid w:val="00A26416"/>
    <w:rsid w:val="00A75B1F"/>
    <w:rsid w:val="00A9733F"/>
    <w:rsid w:val="00AA718F"/>
    <w:rsid w:val="00AB3B6E"/>
    <w:rsid w:val="00AE3475"/>
    <w:rsid w:val="00AF2BB5"/>
    <w:rsid w:val="00AF5B9C"/>
    <w:rsid w:val="00B43F7A"/>
    <w:rsid w:val="00B57C29"/>
    <w:rsid w:val="00B65CE2"/>
    <w:rsid w:val="00B7626F"/>
    <w:rsid w:val="00B96543"/>
    <w:rsid w:val="00BB4BE8"/>
    <w:rsid w:val="00BD1583"/>
    <w:rsid w:val="00C003AF"/>
    <w:rsid w:val="00C16F3D"/>
    <w:rsid w:val="00C449E6"/>
    <w:rsid w:val="00C52997"/>
    <w:rsid w:val="00C9654E"/>
    <w:rsid w:val="00CC4D4B"/>
    <w:rsid w:val="00CE0D7F"/>
    <w:rsid w:val="00CF12F5"/>
    <w:rsid w:val="00D04777"/>
    <w:rsid w:val="00D11DB7"/>
    <w:rsid w:val="00D21FA6"/>
    <w:rsid w:val="00D27360"/>
    <w:rsid w:val="00D540B8"/>
    <w:rsid w:val="00D80C00"/>
    <w:rsid w:val="00D947B8"/>
    <w:rsid w:val="00DA0632"/>
    <w:rsid w:val="00DD0831"/>
    <w:rsid w:val="00DF5CB8"/>
    <w:rsid w:val="00E01F56"/>
    <w:rsid w:val="00E10CEF"/>
    <w:rsid w:val="00E35E79"/>
    <w:rsid w:val="00E419DA"/>
    <w:rsid w:val="00EF7A5D"/>
    <w:rsid w:val="00F1774A"/>
    <w:rsid w:val="00FA098F"/>
    <w:rsid w:val="00FE387F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465A5-01C8-4972-B29A-909618C4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1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C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2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01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09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09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098F"/>
    <w:rPr>
      <w:vertAlign w:val="superscript"/>
    </w:rPr>
  </w:style>
  <w:style w:type="character" w:customStyle="1" w:styleId="apple-converted-space">
    <w:name w:val="apple-converted-space"/>
    <w:basedOn w:val="DefaultParagraphFont"/>
    <w:rsid w:val="00FA098F"/>
  </w:style>
  <w:style w:type="character" w:styleId="Emphasis">
    <w:name w:val="Emphasis"/>
    <w:basedOn w:val="DefaultParagraphFont"/>
    <w:uiPriority w:val="20"/>
    <w:qFormat/>
    <w:rsid w:val="00FA098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94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94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95F"/>
  </w:style>
  <w:style w:type="paragraph" w:styleId="Footer">
    <w:name w:val="footer"/>
    <w:basedOn w:val="Normal"/>
    <w:link w:val="FooterChar"/>
    <w:uiPriority w:val="99"/>
    <w:unhideWhenUsed/>
    <w:rsid w:val="006F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95F"/>
  </w:style>
  <w:style w:type="character" w:customStyle="1" w:styleId="Heading3Char">
    <w:name w:val="Heading 3 Char"/>
    <w:basedOn w:val="DefaultParagraphFont"/>
    <w:link w:val="Heading3"/>
    <w:uiPriority w:val="9"/>
    <w:semiHidden/>
    <w:rsid w:val="00D80C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80C00"/>
    <w:rPr>
      <w:color w:val="0000FF"/>
      <w:u w:val="single"/>
    </w:rPr>
  </w:style>
  <w:style w:type="character" w:customStyle="1" w:styleId="onece">
    <w:name w:val="onece"/>
    <w:basedOn w:val="DefaultParagraphFont"/>
    <w:rsid w:val="00AB3B6E"/>
  </w:style>
  <w:style w:type="paragraph" w:styleId="BalloonText">
    <w:name w:val="Balloon Text"/>
    <w:basedOn w:val="Normal"/>
    <w:link w:val="BalloonTextChar"/>
    <w:uiPriority w:val="99"/>
    <w:semiHidden/>
    <w:unhideWhenUsed/>
    <w:rsid w:val="0081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5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81AFC"/>
    <w:rPr>
      <w:b/>
      <w:bCs/>
    </w:rPr>
  </w:style>
  <w:style w:type="table" w:styleId="TableGrid">
    <w:name w:val="Table Grid"/>
    <w:basedOn w:val="TableNormal"/>
    <w:uiPriority w:val="59"/>
    <w:rsid w:val="0000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ttingham.ac.uk/research/groups/workpsychology/index.aspx" TargetMode="External"/><Relationship Id="rId1" Type="http://schemas.openxmlformats.org/officeDocument/2006/relationships/hyperlink" Target="http://www.nottingham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6163-D288-40BC-BB5B-1B7EE752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2021-05-06T16:38:00Z</dcterms:created>
  <dcterms:modified xsi:type="dcterms:W3CDTF">2021-05-06T16:38:00Z</dcterms:modified>
</cp:coreProperties>
</file>