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3EC1D" w14:textId="77777777" w:rsidR="00336B41" w:rsidRPr="00D7773C" w:rsidRDefault="00000000">
      <w:pPr>
        <w:spacing w:line="360" w:lineRule="auto"/>
        <w:jc w:val="center"/>
        <w:rPr>
          <w:rFonts w:ascii="Times New Roman" w:eastAsia="Times New Roman" w:hAnsi="Times New Roman" w:cs="Times New Roman"/>
          <w:sz w:val="28"/>
          <w:szCs w:val="28"/>
          <w:lang w:val="sr-Latn-RS"/>
        </w:rPr>
      </w:pPr>
      <w:r w:rsidRPr="00D7773C">
        <w:rPr>
          <w:rFonts w:ascii="Times New Roman" w:eastAsia="Times New Roman" w:hAnsi="Times New Roman" w:cs="Times New Roman"/>
          <w:sz w:val="28"/>
          <w:szCs w:val="28"/>
          <w:lang w:val="sr-Latn-RS"/>
        </w:rPr>
        <w:t>Izveštaj sa razmene na Univerzitetu u Mančesteru</w:t>
      </w:r>
    </w:p>
    <w:p w14:paraId="2585BA73" w14:textId="77777777" w:rsidR="00336B41" w:rsidRPr="00D7773C" w:rsidRDefault="00000000">
      <w:pPr>
        <w:spacing w:line="360" w:lineRule="auto"/>
        <w:jc w:val="right"/>
        <w:rPr>
          <w:rFonts w:ascii="Times New Roman" w:eastAsia="Times New Roman" w:hAnsi="Times New Roman" w:cs="Times New Roman"/>
          <w:sz w:val="24"/>
          <w:szCs w:val="24"/>
          <w:lang w:val="sr-Latn-RS"/>
        </w:rPr>
      </w:pPr>
      <w:r w:rsidRPr="00D7773C">
        <w:rPr>
          <w:rFonts w:ascii="Times New Roman" w:eastAsia="Times New Roman" w:hAnsi="Times New Roman" w:cs="Times New Roman"/>
          <w:sz w:val="24"/>
          <w:szCs w:val="24"/>
          <w:lang w:val="sr-Latn-RS"/>
        </w:rPr>
        <w:t>Sanja Stojiljković</w:t>
      </w:r>
    </w:p>
    <w:p w14:paraId="164EA42C" w14:textId="77777777" w:rsidR="00336B41" w:rsidRPr="00D7773C" w:rsidRDefault="00336B41">
      <w:pPr>
        <w:spacing w:line="360" w:lineRule="auto"/>
        <w:jc w:val="right"/>
        <w:rPr>
          <w:rFonts w:ascii="Times New Roman" w:eastAsia="Times New Roman" w:hAnsi="Times New Roman" w:cs="Times New Roman"/>
          <w:sz w:val="24"/>
          <w:szCs w:val="24"/>
          <w:lang w:val="sr-Latn-RS"/>
        </w:rPr>
      </w:pPr>
    </w:p>
    <w:p w14:paraId="61FCF004" w14:textId="0542E9EC" w:rsidR="00336B41" w:rsidRPr="00D7773C" w:rsidRDefault="00000000">
      <w:pPr>
        <w:spacing w:line="360" w:lineRule="auto"/>
        <w:jc w:val="both"/>
        <w:rPr>
          <w:rFonts w:ascii="Times New Roman" w:eastAsia="Times New Roman" w:hAnsi="Times New Roman" w:cs="Times New Roman"/>
          <w:sz w:val="24"/>
          <w:szCs w:val="24"/>
          <w:lang w:val="sr-Latn-RS"/>
        </w:rPr>
      </w:pPr>
      <w:r w:rsidRPr="00D7773C">
        <w:rPr>
          <w:rFonts w:ascii="Times New Roman" w:eastAsia="Times New Roman" w:hAnsi="Times New Roman" w:cs="Times New Roman"/>
          <w:sz w:val="24"/>
          <w:szCs w:val="24"/>
          <w:lang w:val="sr-Latn-RS"/>
        </w:rPr>
        <w:tab/>
        <w:t>U periodu maj-jul 2024. godine sam zahvaljujući stipendiji Fondacije “Borislav Lorenc” imala priliku da posetim Univerzitet u Mančesteru, odsek za Sredinu, Obrazovanje i Razvoj (</w:t>
      </w:r>
      <w:hyperlink r:id="rId4">
        <w:r w:rsidRPr="00D7773C">
          <w:rPr>
            <w:rFonts w:ascii="Times New Roman" w:eastAsia="Times New Roman" w:hAnsi="Times New Roman" w:cs="Times New Roman"/>
            <w:color w:val="1155CC"/>
            <w:sz w:val="24"/>
            <w:szCs w:val="24"/>
            <w:u w:val="single"/>
            <w:lang w:val="sr-Latn-RS"/>
          </w:rPr>
          <w:t>School of Environment, Education and Development - SEED</w:t>
        </w:r>
      </w:hyperlink>
      <w:r w:rsidRPr="00D7773C">
        <w:rPr>
          <w:rFonts w:ascii="Times New Roman" w:eastAsia="Times New Roman" w:hAnsi="Times New Roman" w:cs="Times New Roman"/>
          <w:sz w:val="24"/>
          <w:szCs w:val="24"/>
          <w:lang w:val="sr-Latn-RS"/>
        </w:rPr>
        <w:t xml:space="preserve">) i profesora Nila Hamfrija (eng. </w:t>
      </w:r>
      <w:hyperlink r:id="rId5">
        <w:r w:rsidRPr="00D7773C">
          <w:rPr>
            <w:rFonts w:ascii="Times New Roman" w:eastAsia="Times New Roman" w:hAnsi="Times New Roman" w:cs="Times New Roman"/>
            <w:color w:val="1155CC"/>
            <w:sz w:val="24"/>
            <w:szCs w:val="24"/>
            <w:u w:val="single"/>
            <w:lang w:val="sr-Latn-RS"/>
          </w:rPr>
          <w:t>Neil Humphrey</w:t>
        </w:r>
      </w:hyperlink>
      <w:r w:rsidRPr="00D7773C">
        <w:rPr>
          <w:rFonts w:ascii="Times New Roman" w:eastAsia="Times New Roman" w:hAnsi="Times New Roman" w:cs="Times New Roman"/>
          <w:sz w:val="24"/>
          <w:szCs w:val="24"/>
          <w:lang w:val="sr-Latn-RS"/>
        </w:rPr>
        <w:t>), eksperta u oblasti obrazovanja, mentalnog zdravlja i socio-emocionalnog učenja. Kao doktorantkinja druge godine zainteresovana za oblasti socio-emocionalnog učenja, društvenih mreža</w:t>
      </w:r>
      <w:r w:rsidR="00D7773C">
        <w:rPr>
          <w:rFonts w:ascii="Times New Roman" w:eastAsia="Times New Roman" w:hAnsi="Times New Roman" w:cs="Times New Roman"/>
          <w:sz w:val="24"/>
          <w:szCs w:val="24"/>
          <w:lang w:val="sr-Latn-RS"/>
        </w:rPr>
        <w:t xml:space="preserve">, adolescenata </w:t>
      </w:r>
      <w:r w:rsidRPr="00D7773C">
        <w:rPr>
          <w:rFonts w:ascii="Times New Roman" w:eastAsia="Times New Roman" w:hAnsi="Times New Roman" w:cs="Times New Roman"/>
          <w:sz w:val="24"/>
          <w:szCs w:val="24"/>
          <w:lang w:val="sr-Latn-RS"/>
        </w:rPr>
        <w:t>i obrazovanja, bila sam uključena u posmatranje rada i saradnju na nekolicini projekata koji se iz različitih uglova dotiču oblasti za koje sam razvila akadamsko interesovanje.</w:t>
      </w:r>
    </w:p>
    <w:p w14:paraId="3F90C6F5" w14:textId="77777777" w:rsidR="00336B41" w:rsidRPr="00D7773C" w:rsidRDefault="00336B41">
      <w:pPr>
        <w:spacing w:line="360" w:lineRule="auto"/>
        <w:jc w:val="both"/>
        <w:rPr>
          <w:rFonts w:ascii="Times New Roman" w:eastAsia="Times New Roman" w:hAnsi="Times New Roman" w:cs="Times New Roman"/>
          <w:sz w:val="24"/>
          <w:szCs w:val="24"/>
          <w:lang w:val="sr-Latn-RS"/>
        </w:rPr>
      </w:pPr>
    </w:p>
    <w:p w14:paraId="302D885C" w14:textId="77777777" w:rsidR="00336B41" w:rsidRPr="00D7773C" w:rsidRDefault="00000000">
      <w:pPr>
        <w:spacing w:line="360" w:lineRule="auto"/>
        <w:jc w:val="both"/>
        <w:rPr>
          <w:rFonts w:ascii="Times New Roman" w:eastAsia="Times New Roman" w:hAnsi="Times New Roman" w:cs="Times New Roman"/>
          <w:i/>
          <w:sz w:val="24"/>
          <w:szCs w:val="24"/>
          <w:lang w:val="sr-Latn-RS"/>
        </w:rPr>
      </w:pPr>
      <w:r w:rsidRPr="00D7773C">
        <w:rPr>
          <w:rFonts w:ascii="Times New Roman" w:eastAsia="Times New Roman" w:hAnsi="Times New Roman" w:cs="Times New Roman"/>
          <w:i/>
          <w:sz w:val="24"/>
          <w:szCs w:val="24"/>
          <w:lang w:val="sr-Latn-RS"/>
        </w:rPr>
        <w:t>O Univerzitetu</w:t>
      </w:r>
    </w:p>
    <w:p w14:paraId="5DD505B7" w14:textId="77777777" w:rsidR="00336B41" w:rsidRPr="00D7773C" w:rsidRDefault="00000000">
      <w:pPr>
        <w:spacing w:line="360" w:lineRule="auto"/>
        <w:ind w:firstLine="720"/>
        <w:jc w:val="both"/>
        <w:rPr>
          <w:rFonts w:ascii="Times New Roman" w:eastAsia="Times New Roman" w:hAnsi="Times New Roman" w:cs="Times New Roman"/>
          <w:sz w:val="24"/>
          <w:szCs w:val="24"/>
          <w:lang w:val="sr-Latn-RS"/>
        </w:rPr>
      </w:pPr>
      <w:r w:rsidRPr="00D7773C">
        <w:rPr>
          <w:rFonts w:ascii="Times New Roman" w:eastAsia="Times New Roman" w:hAnsi="Times New Roman" w:cs="Times New Roman"/>
          <w:sz w:val="24"/>
          <w:szCs w:val="24"/>
          <w:lang w:val="sr-Latn-RS"/>
        </w:rPr>
        <w:t>Univerzitet u Mančesteru (</w:t>
      </w:r>
      <w:hyperlink r:id="rId6">
        <w:r w:rsidRPr="00D7773C">
          <w:rPr>
            <w:rFonts w:ascii="Times New Roman" w:eastAsia="Times New Roman" w:hAnsi="Times New Roman" w:cs="Times New Roman"/>
            <w:color w:val="1155CC"/>
            <w:sz w:val="24"/>
            <w:szCs w:val="24"/>
            <w:u w:val="single"/>
            <w:lang w:val="sr-Latn-RS"/>
          </w:rPr>
          <w:t>University of Manchester - UoM</w:t>
        </w:r>
      </w:hyperlink>
      <w:r w:rsidRPr="00D7773C">
        <w:rPr>
          <w:rFonts w:ascii="Times New Roman" w:eastAsia="Times New Roman" w:hAnsi="Times New Roman" w:cs="Times New Roman"/>
          <w:sz w:val="24"/>
          <w:szCs w:val="24"/>
          <w:lang w:val="sr-Latn-RS"/>
        </w:rPr>
        <w:t xml:space="preserve">) osnovan je 1824. godine i tokom moje posete proslavljao je 200 godina svog rada (godišnjica je bila propraćena </w:t>
      </w:r>
      <w:hyperlink r:id="rId7">
        <w:r w:rsidRPr="00D7773C">
          <w:rPr>
            <w:rFonts w:ascii="Times New Roman" w:eastAsia="Times New Roman" w:hAnsi="Times New Roman" w:cs="Times New Roman"/>
            <w:color w:val="1155CC"/>
            <w:sz w:val="24"/>
            <w:szCs w:val="24"/>
            <w:u w:val="single"/>
            <w:lang w:val="sr-Latn-RS"/>
          </w:rPr>
          <w:t>zabavnim programom</w:t>
        </w:r>
      </w:hyperlink>
      <w:r w:rsidRPr="00D7773C">
        <w:rPr>
          <w:rFonts w:ascii="Times New Roman" w:eastAsia="Times New Roman" w:hAnsi="Times New Roman" w:cs="Times New Roman"/>
          <w:sz w:val="24"/>
          <w:szCs w:val="24"/>
          <w:lang w:val="sr-Latn-RS"/>
        </w:rPr>
        <w:t xml:space="preserve"> smeštenim u različite državne institucije širom grada, sa aktivnostima prilagođenim svim uzrastima). Prema prošlogodišnjim procenama, UoM ocenjen je kao šesti najbolji univerzitet u Velikoj Britaniji, odnosno 41. najbolji univerzitet na svetu. Sam univerzitet raspolaže velikim kampusom u centru grada, koji se prostire na preko 70 različitih fizičkih jedinica. Zgrada u kojoj sam boravila nosila je ime Ellen Wilkinson i predstavlja glavni operativni centar odseka za Sredinu, Obrazovanje i Razvoj, kao i Instituta za Obrazovanje. Detaljnije informacije o samom univerzitetu moguće je pročitati na njihovoj </w:t>
      </w:r>
      <w:hyperlink r:id="rId8">
        <w:r w:rsidRPr="00D7773C">
          <w:rPr>
            <w:rFonts w:ascii="Times New Roman" w:eastAsia="Times New Roman" w:hAnsi="Times New Roman" w:cs="Times New Roman"/>
            <w:color w:val="1155CC"/>
            <w:sz w:val="24"/>
            <w:szCs w:val="24"/>
            <w:u w:val="single"/>
            <w:lang w:val="sr-Latn-RS"/>
          </w:rPr>
          <w:t>zvaničnoj stranici.</w:t>
        </w:r>
      </w:hyperlink>
      <w:r w:rsidRPr="00D7773C">
        <w:rPr>
          <w:rFonts w:ascii="Times New Roman" w:eastAsia="Times New Roman" w:hAnsi="Times New Roman" w:cs="Times New Roman"/>
          <w:sz w:val="24"/>
          <w:szCs w:val="24"/>
          <w:lang w:val="sr-Latn-RS"/>
        </w:rPr>
        <w:t xml:space="preserve"> </w:t>
      </w:r>
    </w:p>
    <w:p w14:paraId="50492495" w14:textId="5033539E" w:rsidR="00336B41" w:rsidRPr="00D7773C" w:rsidRDefault="00000000">
      <w:pPr>
        <w:spacing w:line="360" w:lineRule="auto"/>
        <w:ind w:firstLine="720"/>
        <w:jc w:val="both"/>
        <w:rPr>
          <w:rFonts w:ascii="Times New Roman" w:eastAsia="Times New Roman" w:hAnsi="Times New Roman" w:cs="Times New Roman"/>
          <w:sz w:val="24"/>
          <w:szCs w:val="24"/>
          <w:lang w:val="sr-Latn-RS"/>
        </w:rPr>
      </w:pPr>
      <w:r w:rsidRPr="00D7773C">
        <w:rPr>
          <w:rFonts w:ascii="Times New Roman" w:eastAsia="Times New Roman" w:hAnsi="Times New Roman" w:cs="Times New Roman"/>
          <w:sz w:val="24"/>
          <w:szCs w:val="24"/>
          <w:lang w:val="sr-Latn-RS"/>
        </w:rPr>
        <w:t>Lični utisak o univerzitetu pre svega se svodi na njegovu inkluzivnost i diverzitet, kao i odnos zaposlenih i samog univerziteta prema mentalnom zdravlju</w:t>
      </w:r>
      <w:r w:rsidR="00843A43">
        <w:rPr>
          <w:rFonts w:ascii="Times New Roman" w:eastAsia="Times New Roman" w:hAnsi="Times New Roman" w:cs="Times New Roman"/>
          <w:sz w:val="24"/>
          <w:szCs w:val="24"/>
          <w:lang w:val="sr-Latn-RS"/>
        </w:rPr>
        <w:t xml:space="preserve"> ljudi.</w:t>
      </w:r>
      <w:r w:rsidRPr="00D7773C">
        <w:rPr>
          <w:rFonts w:ascii="Times New Roman" w:eastAsia="Times New Roman" w:hAnsi="Times New Roman" w:cs="Times New Roman"/>
          <w:sz w:val="24"/>
          <w:szCs w:val="24"/>
          <w:lang w:val="sr-Latn-RS"/>
        </w:rPr>
        <w:t xml:space="preserve"> Različite zgrade kampusa svojim fizičkim odlikama poručuju da su otvorene i na usluzi studentima različitih pozadina, te je svaka jedinica opremljena rampama, automatskim vratima, komandnim tablama na visini od 100cm, ali i zasebnim religijskim postrojenjima i prostorijama posvećenim svakoj od tri najzastupljenije monoteističke religije. Na univerzitetu se posebna pažnja posvećuje doktorantima i istraživačima na počecima svoje karijere, zbog čega doktoranti svakog odseka raspolažu tehnički opremljenom zajedničkom kancelarijom odakle mogu obavljati svoje radne obaveze i provoditi vreme sa preostalim doktorantima istog odseka, bilo da sarađuju sa njima na eksternim projektima ili ne. Na ovaj način se od početka karijere budućih akademika stvara zajednica nove generacije </w:t>
      </w:r>
      <w:r w:rsidRPr="00D7773C">
        <w:rPr>
          <w:rFonts w:ascii="Times New Roman" w:eastAsia="Times New Roman" w:hAnsi="Times New Roman" w:cs="Times New Roman"/>
          <w:sz w:val="24"/>
          <w:szCs w:val="24"/>
          <w:lang w:val="sr-Latn-RS"/>
        </w:rPr>
        <w:lastRenderedPageBreak/>
        <w:t>entuzijasta, koji mogu razmenjivati profesionalne ideje, ali i lične poteškoće povodom studija i života. Ova misao nadovezuje se na utisak o kolektivnoj brizi o mentalnom zdravlju svih zaposlenih, budući da fakultet kao institucija org</w:t>
      </w:r>
      <w:r w:rsidR="00E214A7">
        <w:rPr>
          <w:rFonts w:ascii="Times New Roman" w:eastAsia="Times New Roman" w:hAnsi="Times New Roman" w:cs="Times New Roman"/>
          <w:sz w:val="24"/>
          <w:szCs w:val="24"/>
          <w:lang w:val="sr-Latn-RS"/>
        </w:rPr>
        <w:t>a</w:t>
      </w:r>
      <w:r w:rsidRPr="00D7773C">
        <w:rPr>
          <w:rFonts w:ascii="Times New Roman" w:eastAsia="Times New Roman" w:hAnsi="Times New Roman" w:cs="Times New Roman"/>
          <w:sz w:val="24"/>
          <w:szCs w:val="24"/>
          <w:lang w:val="sr-Latn-RS"/>
        </w:rPr>
        <w:t xml:space="preserve">nizuje mnoštvo događaja i aktivnosti podređenih mentalnom zdravlju, zbližavanju zaposlenih i uspostavljanju balansa između privatnog i poslovnog života (npr. besplatni zabavni događaji, edukativne radionice, stručna podrška i pomoć…) i da pojedinci iniciraju zajedničke aktivnosti i druženja za sve pripadnike kolektiva (npr. tokom mog boravka, organizovao se zajedički odlazak Instituta za Obrazovanje u bioskop i gledanje filma Inside Out 2, </w:t>
      </w:r>
      <w:r w:rsidR="00101705">
        <w:rPr>
          <w:rFonts w:ascii="Times New Roman" w:eastAsia="Times New Roman" w:hAnsi="Times New Roman" w:cs="Times New Roman"/>
          <w:sz w:val="24"/>
          <w:szCs w:val="24"/>
          <w:lang w:val="sr-Latn-RS"/>
        </w:rPr>
        <w:t xml:space="preserve">relevantnog za sferu rada Instituta, </w:t>
      </w:r>
      <w:r w:rsidRPr="00D7773C">
        <w:rPr>
          <w:rFonts w:ascii="Times New Roman" w:eastAsia="Times New Roman" w:hAnsi="Times New Roman" w:cs="Times New Roman"/>
          <w:sz w:val="24"/>
          <w:szCs w:val="24"/>
          <w:lang w:val="sr-Latn-RS"/>
        </w:rPr>
        <w:t xml:space="preserve">kao i nekoliko odlazaka u restorane i kafiće na račun fakulteta nakon višečasovnih sastanaka departmana). Da su negovanje dobrobiti svojih studenata i zaposlenih, kao i zainteresovanost za živote u celosti svih pojedinaca asociranih sa Univerzitetom vrednosti za koje se UoM zalaže, možemo uočiti čak i na kanalima društvenih mreža UoM kroz objave kojima se slave diplomiranja, porodične posete studentima i prijateljstva i </w:t>
      </w:r>
      <w:hyperlink r:id="rId9">
        <w:r w:rsidRPr="00D7773C">
          <w:rPr>
            <w:rFonts w:ascii="Times New Roman" w:eastAsia="Times New Roman" w:hAnsi="Times New Roman" w:cs="Times New Roman"/>
            <w:color w:val="1155CC"/>
            <w:sz w:val="24"/>
            <w:szCs w:val="24"/>
            <w:u w:val="single"/>
            <w:lang w:val="sr-Latn-RS"/>
          </w:rPr>
          <w:t>ljubavi koje se rađaju na fakultetu</w:t>
        </w:r>
      </w:hyperlink>
      <w:r w:rsidRPr="00D7773C">
        <w:rPr>
          <w:rFonts w:ascii="Times New Roman" w:eastAsia="Times New Roman" w:hAnsi="Times New Roman" w:cs="Times New Roman"/>
          <w:sz w:val="24"/>
          <w:szCs w:val="24"/>
          <w:lang w:val="sr-Latn-RS"/>
        </w:rPr>
        <w:t>. Celokupno posmatrano, UoM odaje utisak institucije koja se zalaže za celovit razvoj svojih studenata i zaposlenih, što za posledicu ima zdrav odnos tih pojedinaca prema sopstvenim akademskim obavezama, ambicijama i privatnim životima.</w:t>
      </w:r>
    </w:p>
    <w:p w14:paraId="210D3F93" w14:textId="77777777" w:rsidR="00336B41" w:rsidRPr="00D7773C" w:rsidRDefault="00336B41">
      <w:pPr>
        <w:spacing w:line="360" w:lineRule="auto"/>
        <w:jc w:val="both"/>
        <w:rPr>
          <w:rFonts w:ascii="Times New Roman" w:eastAsia="Times New Roman" w:hAnsi="Times New Roman" w:cs="Times New Roman"/>
          <w:sz w:val="24"/>
          <w:szCs w:val="24"/>
          <w:lang w:val="sr-Latn-RS"/>
        </w:rPr>
      </w:pPr>
    </w:p>
    <w:p w14:paraId="144C9CE8" w14:textId="77777777" w:rsidR="00336B41" w:rsidRPr="00D7773C" w:rsidRDefault="00000000">
      <w:pPr>
        <w:spacing w:line="360" w:lineRule="auto"/>
        <w:jc w:val="both"/>
        <w:rPr>
          <w:rFonts w:ascii="Times New Roman" w:eastAsia="Times New Roman" w:hAnsi="Times New Roman" w:cs="Times New Roman"/>
          <w:i/>
          <w:sz w:val="24"/>
          <w:szCs w:val="24"/>
          <w:lang w:val="sr-Latn-RS"/>
        </w:rPr>
      </w:pPr>
      <w:r w:rsidRPr="00D7773C">
        <w:rPr>
          <w:rFonts w:ascii="Times New Roman" w:eastAsia="Times New Roman" w:hAnsi="Times New Roman" w:cs="Times New Roman"/>
          <w:i/>
          <w:sz w:val="24"/>
          <w:szCs w:val="24"/>
          <w:lang w:val="sr-Latn-RS"/>
        </w:rPr>
        <w:t>Aktivnosti tokom razmene</w:t>
      </w:r>
    </w:p>
    <w:p w14:paraId="5A2C3417" w14:textId="77777777" w:rsidR="00336B41" w:rsidRPr="00D7773C" w:rsidRDefault="00000000">
      <w:pPr>
        <w:spacing w:line="360" w:lineRule="auto"/>
        <w:ind w:firstLine="720"/>
        <w:jc w:val="both"/>
        <w:rPr>
          <w:rFonts w:ascii="Times New Roman" w:eastAsia="Times New Roman" w:hAnsi="Times New Roman" w:cs="Times New Roman"/>
          <w:sz w:val="24"/>
          <w:szCs w:val="24"/>
          <w:lang w:val="sr-Latn-RS"/>
        </w:rPr>
      </w:pPr>
      <w:r w:rsidRPr="00D7773C">
        <w:rPr>
          <w:rFonts w:ascii="Times New Roman" w:eastAsia="Times New Roman" w:hAnsi="Times New Roman" w:cs="Times New Roman"/>
          <w:sz w:val="24"/>
          <w:szCs w:val="24"/>
          <w:lang w:val="sr-Latn-RS"/>
        </w:rPr>
        <w:t>Glavne aktivnosti tokom posete UoM proizilazile su iz aktivnosti tri različita projekta: #BeeWell, #So.Me i #Passport to Success.</w:t>
      </w:r>
    </w:p>
    <w:p w14:paraId="6CD73EF4" w14:textId="77777777" w:rsidR="00336B41" w:rsidRPr="00D7773C" w:rsidRDefault="00000000">
      <w:pPr>
        <w:spacing w:line="360" w:lineRule="auto"/>
        <w:jc w:val="both"/>
        <w:rPr>
          <w:rFonts w:ascii="Times New Roman" w:eastAsia="Times New Roman" w:hAnsi="Times New Roman" w:cs="Times New Roman"/>
          <w:i/>
          <w:sz w:val="24"/>
          <w:szCs w:val="24"/>
          <w:u w:val="single"/>
          <w:lang w:val="sr-Latn-RS"/>
        </w:rPr>
      </w:pPr>
      <w:r w:rsidRPr="00D7773C">
        <w:rPr>
          <w:rFonts w:ascii="Times New Roman" w:eastAsia="Times New Roman" w:hAnsi="Times New Roman" w:cs="Times New Roman"/>
          <w:i/>
          <w:sz w:val="24"/>
          <w:szCs w:val="24"/>
          <w:u w:val="single"/>
          <w:lang w:val="sr-Latn-RS"/>
        </w:rPr>
        <w:t>Projekat #BeeWell</w:t>
      </w:r>
    </w:p>
    <w:p w14:paraId="1897065D" w14:textId="77777777" w:rsidR="00336B41" w:rsidRPr="00D7773C" w:rsidRDefault="00000000">
      <w:pPr>
        <w:spacing w:line="360" w:lineRule="auto"/>
        <w:ind w:firstLine="720"/>
        <w:jc w:val="both"/>
        <w:rPr>
          <w:rFonts w:ascii="Times New Roman" w:eastAsia="Times New Roman" w:hAnsi="Times New Roman" w:cs="Times New Roman"/>
          <w:sz w:val="24"/>
          <w:szCs w:val="24"/>
          <w:lang w:val="sr-Latn-RS"/>
        </w:rPr>
      </w:pPr>
      <w:hyperlink r:id="rId10">
        <w:r w:rsidRPr="00D7773C">
          <w:rPr>
            <w:rFonts w:ascii="Times New Roman" w:eastAsia="Times New Roman" w:hAnsi="Times New Roman" w:cs="Times New Roman"/>
            <w:color w:val="1155CC"/>
            <w:sz w:val="24"/>
            <w:szCs w:val="24"/>
            <w:u w:val="single"/>
            <w:lang w:val="sr-Latn-RS"/>
          </w:rPr>
          <w:t>#BeeWell</w:t>
        </w:r>
      </w:hyperlink>
      <w:r w:rsidRPr="00D7773C">
        <w:rPr>
          <w:rFonts w:ascii="Times New Roman" w:eastAsia="Times New Roman" w:hAnsi="Times New Roman" w:cs="Times New Roman"/>
          <w:sz w:val="24"/>
          <w:szCs w:val="24"/>
          <w:lang w:val="sr-Latn-RS"/>
        </w:rPr>
        <w:t xml:space="preserve"> projekat okuplja eksperte sa Univerziteta u Mančesteru, Fondacije porodice Gregson i Instituta Ana Frojd u cilju osluškivanja potreba mladih i utvrđivanja faktora koji mogu doprineti kvalitetu njihovog mentalnog zdravlja. U sklopu #BeeWell projekta sprovodi se longitudinalna studija koja prati grupu mladih iz različitih okruga i škola od njihove 12. do 15. godine, sakupljanjem informacija o njihovom zdravlju i rutinama, hobijima i izvorima zabave, interpersonalnim odnosima, okruženju i širem društvu, idejama o budućnosti i sistemima podrške. Istraživanje je kvantitativnog tipa i mladi na godišnjem nivou ispunjavaju upitnik na osnovu kog se analizom utvrđuje  njihov doživljaj svrhe i kontrole, razumevanja sebe i vladanjem emocija, kao domenima mentalnog zdravlja. Posebna vrednost zadatog upitnika i studije u celosti je u tome što je ona konstruisana u saradnji sa mladima i ekspertima iz oblasti obrazovanja, te je po prirodi visoko kotirana na skali participativnosti. Projekat #BeeWell uvažio je posebno priznanje od strane </w:t>
      </w:r>
      <w:r w:rsidRPr="00D7773C">
        <w:rPr>
          <w:rFonts w:ascii="Times New Roman" w:eastAsia="Times New Roman" w:hAnsi="Times New Roman" w:cs="Times New Roman"/>
          <w:sz w:val="24"/>
          <w:szCs w:val="24"/>
          <w:lang w:val="sr-Latn-RS"/>
        </w:rPr>
        <w:lastRenderedPageBreak/>
        <w:t>Univerziteta u Mančesteru, primivši od njega nagradu za projekat koji utiče na značajne promene u društvu (eng. “</w:t>
      </w:r>
      <w:hyperlink r:id="rId11">
        <w:r w:rsidRPr="00D7773C">
          <w:rPr>
            <w:rFonts w:ascii="Times New Roman" w:eastAsia="Times New Roman" w:hAnsi="Times New Roman" w:cs="Times New Roman"/>
            <w:color w:val="1155CC"/>
            <w:sz w:val="24"/>
            <w:szCs w:val="24"/>
            <w:u w:val="single"/>
            <w:lang w:val="sr-Latn-RS"/>
          </w:rPr>
          <w:t>Making a Difference Award</w:t>
        </w:r>
      </w:hyperlink>
      <w:r w:rsidRPr="00D7773C">
        <w:rPr>
          <w:rFonts w:ascii="Times New Roman" w:eastAsia="Times New Roman" w:hAnsi="Times New Roman" w:cs="Times New Roman"/>
          <w:sz w:val="24"/>
          <w:szCs w:val="24"/>
          <w:lang w:val="sr-Latn-RS"/>
        </w:rPr>
        <w:t>”, 2024).</w:t>
      </w:r>
    </w:p>
    <w:p w14:paraId="74DBCAAA" w14:textId="2EA0F59E" w:rsidR="00336B41" w:rsidRPr="00D7773C" w:rsidRDefault="00000000">
      <w:pPr>
        <w:spacing w:line="360" w:lineRule="auto"/>
        <w:ind w:firstLine="720"/>
        <w:jc w:val="both"/>
        <w:rPr>
          <w:rFonts w:ascii="Times New Roman" w:eastAsia="Times New Roman" w:hAnsi="Times New Roman" w:cs="Times New Roman"/>
          <w:sz w:val="24"/>
          <w:szCs w:val="24"/>
          <w:lang w:val="sr-Latn-RS"/>
        </w:rPr>
      </w:pPr>
      <w:r w:rsidRPr="00D7773C">
        <w:rPr>
          <w:rFonts w:ascii="Times New Roman" w:eastAsia="Times New Roman" w:hAnsi="Times New Roman" w:cs="Times New Roman"/>
          <w:sz w:val="24"/>
          <w:szCs w:val="24"/>
          <w:lang w:val="sr-Latn-RS"/>
        </w:rPr>
        <w:t xml:space="preserve">Za vreme moje posete UoM, #BeeWell tim je bio između faza prikupljanja podataka i u procesu planiranja načina obrade podataka. Takođe, uspostavljala su se nova partnerstva sa školama koje se mogu priključiti projektu kao novi </w:t>
      </w:r>
      <w:r w:rsidR="004126DB">
        <w:rPr>
          <w:rFonts w:ascii="Times New Roman" w:eastAsia="Times New Roman" w:hAnsi="Times New Roman" w:cs="Times New Roman"/>
          <w:sz w:val="24"/>
          <w:szCs w:val="24"/>
          <w:lang w:val="sr-Latn-RS"/>
        </w:rPr>
        <w:t xml:space="preserve">partneri </w:t>
      </w:r>
      <w:r w:rsidRPr="00D7773C">
        <w:rPr>
          <w:rFonts w:ascii="Times New Roman" w:eastAsia="Times New Roman" w:hAnsi="Times New Roman" w:cs="Times New Roman"/>
          <w:sz w:val="24"/>
          <w:szCs w:val="24"/>
          <w:lang w:val="sr-Latn-RS"/>
        </w:rPr>
        <w:t xml:space="preserve">i organizovala promotivna okupljanja tokom kojih se javnost izveštavala o postignutom. Stoga, posmatranjem rada #BeeWell tima imala sam priliku da saznam o novim statističkim metodama za obradu podataka, da učestvujem u strateškom planiranju uzorka i da učim o pristupima različitim važnim stejkholderima projekta. </w:t>
      </w:r>
    </w:p>
    <w:p w14:paraId="2EFAD465" w14:textId="77777777" w:rsidR="00336B41" w:rsidRPr="00D7773C" w:rsidRDefault="00000000">
      <w:pPr>
        <w:spacing w:line="360" w:lineRule="auto"/>
        <w:ind w:firstLine="720"/>
        <w:jc w:val="both"/>
        <w:rPr>
          <w:rFonts w:ascii="Times New Roman" w:eastAsia="Times New Roman" w:hAnsi="Times New Roman" w:cs="Times New Roman"/>
          <w:sz w:val="24"/>
          <w:szCs w:val="24"/>
          <w:lang w:val="sr-Latn-RS"/>
        </w:rPr>
      </w:pPr>
      <w:r w:rsidRPr="00D7773C">
        <w:rPr>
          <w:rFonts w:ascii="Times New Roman" w:eastAsia="Times New Roman" w:hAnsi="Times New Roman" w:cs="Times New Roman"/>
          <w:i/>
          <w:sz w:val="24"/>
          <w:szCs w:val="24"/>
          <w:lang w:val="sr-Latn-RS"/>
        </w:rPr>
        <w:t>Buduća saradnja</w:t>
      </w:r>
      <w:r w:rsidRPr="00D7773C">
        <w:rPr>
          <w:rFonts w:ascii="Times New Roman" w:eastAsia="Times New Roman" w:hAnsi="Times New Roman" w:cs="Times New Roman"/>
          <w:sz w:val="24"/>
          <w:szCs w:val="24"/>
          <w:lang w:val="sr-Latn-RS"/>
        </w:rPr>
        <w:t>: Na osnovu prikupljenih podataka moguće je povezati informacije o mestu prebivališta učenika, odnosno o okruzima u kojima su odrastali i drajvere mentalnog zdravlja (hobiji, zdravlje, rutine…). Nekolicina istraživača zainteresovanih za ovu temu uključila me je u pisanje rada o pitanju povezanosti okruženja mladih i njihovog mentalnog zdravlja, koje je upravo u toku. I sada, po povratku iz Mančestera, jednom mesečno učestvujem u sastancima odabrane grupe istraživača i nastojim da ostvarim što veći doprinos timu sa kojim radim.</w:t>
      </w:r>
    </w:p>
    <w:p w14:paraId="67B2EB40" w14:textId="77777777" w:rsidR="00336B41" w:rsidRPr="00D7773C" w:rsidRDefault="00000000">
      <w:pPr>
        <w:spacing w:line="360" w:lineRule="auto"/>
        <w:jc w:val="both"/>
        <w:rPr>
          <w:rFonts w:ascii="Times New Roman" w:eastAsia="Times New Roman" w:hAnsi="Times New Roman" w:cs="Times New Roman"/>
          <w:i/>
          <w:sz w:val="24"/>
          <w:szCs w:val="24"/>
          <w:u w:val="single"/>
          <w:lang w:val="sr-Latn-RS"/>
        </w:rPr>
      </w:pPr>
      <w:r w:rsidRPr="00D7773C">
        <w:rPr>
          <w:rFonts w:ascii="Times New Roman" w:eastAsia="Times New Roman" w:hAnsi="Times New Roman" w:cs="Times New Roman"/>
          <w:i/>
          <w:sz w:val="24"/>
          <w:szCs w:val="24"/>
          <w:u w:val="single"/>
          <w:lang w:val="sr-Latn-RS"/>
        </w:rPr>
        <w:t>Projekat #So.Me</w:t>
      </w:r>
    </w:p>
    <w:p w14:paraId="55F7D7CE" w14:textId="77777777" w:rsidR="00336B41" w:rsidRPr="00D7773C" w:rsidRDefault="00000000">
      <w:pPr>
        <w:spacing w:line="360" w:lineRule="auto"/>
        <w:jc w:val="both"/>
        <w:rPr>
          <w:rFonts w:ascii="Times New Roman" w:eastAsia="Times New Roman" w:hAnsi="Times New Roman" w:cs="Times New Roman"/>
          <w:sz w:val="24"/>
          <w:szCs w:val="24"/>
          <w:lang w:val="sr-Latn-RS"/>
        </w:rPr>
      </w:pPr>
      <w:r w:rsidRPr="00D7773C">
        <w:rPr>
          <w:rFonts w:ascii="Times New Roman" w:eastAsia="Times New Roman" w:hAnsi="Times New Roman" w:cs="Times New Roman"/>
          <w:sz w:val="24"/>
          <w:szCs w:val="24"/>
          <w:lang w:val="sr-Latn-RS"/>
        </w:rPr>
        <w:tab/>
        <w:t xml:space="preserve"> </w:t>
      </w:r>
      <w:hyperlink r:id="rId12">
        <w:r w:rsidRPr="00D7773C">
          <w:rPr>
            <w:rFonts w:ascii="Times New Roman" w:eastAsia="Times New Roman" w:hAnsi="Times New Roman" w:cs="Times New Roman"/>
            <w:color w:val="1155CC"/>
            <w:sz w:val="24"/>
            <w:szCs w:val="24"/>
            <w:u w:val="single"/>
            <w:lang w:val="sr-Latn-RS"/>
          </w:rPr>
          <w:t>Projekat #So.Me</w:t>
        </w:r>
      </w:hyperlink>
      <w:r w:rsidRPr="00D7773C">
        <w:rPr>
          <w:rFonts w:ascii="Times New Roman" w:eastAsia="Times New Roman" w:hAnsi="Times New Roman" w:cs="Times New Roman"/>
          <w:sz w:val="24"/>
          <w:szCs w:val="24"/>
          <w:lang w:val="sr-Latn-RS"/>
        </w:rPr>
        <w:t xml:space="preserve"> (skraćeno od </w:t>
      </w:r>
      <w:r w:rsidRPr="00D7773C">
        <w:rPr>
          <w:rFonts w:ascii="Times New Roman" w:eastAsia="Times New Roman" w:hAnsi="Times New Roman" w:cs="Times New Roman"/>
          <w:i/>
          <w:sz w:val="24"/>
          <w:szCs w:val="24"/>
          <w:lang w:val="sr-Latn-RS"/>
        </w:rPr>
        <w:t>Social Media</w:t>
      </w:r>
      <w:r w:rsidRPr="00D7773C">
        <w:rPr>
          <w:rFonts w:ascii="Times New Roman" w:eastAsia="Times New Roman" w:hAnsi="Times New Roman" w:cs="Times New Roman"/>
          <w:sz w:val="24"/>
          <w:szCs w:val="24"/>
          <w:lang w:val="sr-Latn-RS"/>
        </w:rPr>
        <w:t>, odnosno društvene mreže) je trogodišnja višeetapna studija koja za cilj ima dublje razumevanje odnosa upotrebe društvenih mreža od strane mladih i njihovog mentalnog zdravlja. Na osnovu prikupljenih informacija o odnosu mentalnog zdravlja i upotrebe društvenih mreža, tim istraživača sa Instituta za Obrazovanje u sklopu UoM teži da konstruiše upitnik kojim bi na pouzdan način bilo moguće proceniti rizične faktore pri upotrebi društvenih mreža koji ukazuju na potencijalne probleme sa mentalnim zdravljem kod mladih pojedinaca. Iako ova tema nije prvi put ispitivana od strane istraživača sa UoM, ono što čini ovu studiju drugačijom u odnosu na ostale na globalnom nivou jeste njen fokus: društvene mreže se ne ispituju kroz kvantitativnu meru vremena utrošenog na iste, već kroz kvalitativne informacije o načinu na koji se društvene mreže koriste. Kao što je to slučaj i sa projektom #BeeWell, i ova studija je participativna, te su svi ajtemi koji se zadaju mladima u različitim fazama studije konstruisani u saradnji sa drugim mladima, ekspertima u oblasti mentalnog zdravlja i društvenih mreža, kao i praktičara u školama i roditelja.</w:t>
      </w:r>
    </w:p>
    <w:p w14:paraId="201EE6B6" w14:textId="77777777" w:rsidR="00336B41" w:rsidRPr="00D7773C" w:rsidRDefault="00000000">
      <w:pPr>
        <w:spacing w:line="360" w:lineRule="auto"/>
        <w:jc w:val="both"/>
        <w:rPr>
          <w:rFonts w:ascii="Times New Roman" w:eastAsia="Times New Roman" w:hAnsi="Times New Roman" w:cs="Times New Roman"/>
          <w:sz w:val="24"/>
          <w:szCs w:val="24"/>
          <w:lang w:val="sr-Latn-RS"/>
        </w:rPr>
      </w:pPr>
      <w:r w:rsidRPr="00D7773C">
        <w:rPr>
          <w:rFonts w:ascii="Times New Roman" w:eastAsia="Times New Roman" w:hAnsi="Times New Roman" w:cs="Times New Roman"/>
          <w:sz w:val="24"/>
          <w:szCs w:val="24"/>
          <w:lang w:val="sr-Latn-RS"/>
        </w:rPr>
        <w:tab/>
        <w:t xml:space="preserve">Tokom boravka u Mančesteru, u najvećoj meri sam imala priliku da učestvujem u aktivnostima projekta #So.Me. Konkretno, imala sam priliku da učestvujem u vebinaru organizovanom za roditelje na temu društvenih mreža i mladih, da doprinosim idejama povodom </w:t>
      </w:r>
      <w:r w:rsidRPr="00D7773C">
        <w:rPr>
          <w:rFonts w:ascii="Times New Roman" w:eastAsia="Times New Roman" w:hAnsi="Times New Roman" w:cs="Times New Roman"/>
          <w:sz w:val="24"/>
          <w:szCs w:val="24"/>
          <w:lang w:val="sr-Latn-RS"/>
        </w:rPr>
        <w:lastRenderedPageBreak/>
        <w:t xml:space="preserve">radionica i konferencija koje će se organizovati krajem 2024. godine, da pristupim kvalitativnim podacima iz različitih etapa studije (fokus grupe sa mladima različitih uzrasta na temu društvenih mreža i Delphi studije) i predložim načine na koje se datim podacima može pristupiti. </w:t>
      </w:r>
    </w:p>
    <w:p w14:paraId="5C8584AB" w14:textId="0314C511" w:rsidR="00336B41" w:rsidRPr="00D7773C" w:rsidRDefault="00000000">
      <w:pPr>
        <w:spacing w:line="360" w:lineRule="auto"/>
        <w:jc w:val="both"/>
        <w:rPr>
          <w:rFonts w:ascii="Times New Roman" w:eastAsia="Times New Roman" w:hAnsi="Times New Roman" w:cs="Times New Roman"/>
          <w:sz w:val="24"/>
          <w:szCs w:val="24"/>
          <w:lang w:val="sr-Latn-RS"/>
        </w:rPr>
      </w:pPr>
      <w:r w:rsidRPr="00D7773C">
        <w:rPr>
          <w:rFonts w:ascii="Times New Roman" w:eastAsia="Times New Roman" w:hAnsi="Times New Roman" w:cs="Times New Roman"/>
          <w:sz w:val="24"/>
          <w:szCs w:val="24"/>
          <w:lang w:val="sr-Latn-RS"/>
        </w:rPr>
        <w:tab/>
      </w:r>
      <w:r w:rsidRPr="00D7773C">
        <w:rPr>
          <w:rFonts w:ascii="Times New Roman" w:eastAsia="Times New Roman" w:hAnsi="Times New Roman" w:cs="Times New Roman"/>
          <w:i/>
          <w:sz w:val="24"/>
          <w:szCs w:val="24"/>
          <w:lang w:val="sr-Latn-RS"/>
        </w:rPr>
        <w:t>Buduća saradnja</w:t>
      </w:r>
      <w:r w:rsidRPr="00D7773C">
        <w:rPr>
          <w:rFonts w:ascii="Times New Roman" w:eastAsia="Times New Roman" w:hAnsi="Times New Roman" w:cs="Times New Roman"/>
          <w:sz w:val="24"/>
          <w:szCs w:val="24"/>
          <w:lang w:val="sr-Latn-RS"/>
        </w:rPr>
        <w:t xml:space="preserve">: Zahvaljujući poverenju ukazanom od strane UoM, po povratku u Srbiju ovlašćen mi je pristup sakupljenim kvalitativnim podacima (fokus grupe, Delphi studija) i data sloboda da u saradnji sa projektnom menadžerkom, Džo Hikman-Dun (eng. </w:t>
      </w:r>
      <w:hyperlink r:id="rId13">
        <w:r w:rsidRPr="00D7773C">
          <w:rPr>
            <w:rFonts w:ascii="Times New Roman" w:eastAsia="Times New Roman" w:hAnsi="Times New Roman" w:cs="Times New Roman"/>
            <w:color w:val="1155CC"/>
            <w:sz w:val="24"/>
            <w:szCs w:val="24"/>
            <w:u w:val="single"/>
            <w:lang w:val="sr-Latn-RS"/>
          </w:rPr>
          <w:t>Jo Hickman-Dunne</w:t>
        </w:r>
      </w:hyperlink>
      <w:r w:rsidRPr="00D7773C">
        <w:rPr>
          <w:rFonts w:ascii="Times New Roman" w:eastAsia="Times New Roman" w:hAnsi="Times New Roman" w:cs="Times New Roman"/>
          <w:sz w:val="24"/>
          <w:szCs w:val="24"/>
          <w:lang w:val="sr-Latn-RS"/>
        </w:rPr>
        <w:t>), na osnovu podataka predložim temu na koju možemo napisati zajednički rad. Kako je ova ideja još uvek u razvoju, Džo i ja se od mog povratka u Srbiju sastajemo jednom mesečno i razgovaramo o pravcima u kojima naš rad može teći. Posebno sam zahvalna na ovoj prilici jer mi se kroz pisanje ovog rada daje velika autonomija, slobodna i odgovornost budući da mi je prepuštena uloga istraživač</w:t>
      </w:r>
      <w:r w:rsidR="00794193">
        <w:rPr>
          <w:rFonts w:ascii="Times New Roman" w:eastAsia="Times New Roman" w:hAnsi="Times New Roman" w:cs="Times New Roman"/>
          <w:sz w:val="24"/>
          <w:szCs w:val="24"/>
          <w:lang w:val="sr-Latn-RS"/>
        </w:rPr>
        <w:t>ice</w:t>
      </w:r>
      <w:r w:rsidRPr="00D7773C">
        <w:rPr>
          <w:rFonts w:ascii="Times New Roman" w:eastAsia="Times New Roman" w:hAnsi="Times New Roman" w:cs="Times New Roman"/>
          <w:sz w:val="24"/>
          <w:szCs w:val="24"/>
          <w:lang w:val="sr-Latn-RS"/>
        </w:rPr>
        <w:t xml:space="preserve"> koj</w:t>
      </w:r>
      <w:r w:rsidR="00794193">
        <w:rPr>
          <w:rFonts w:ascii="Times New Roman" w:eastAsia="Times New Roman" w:hAnsi="Times New Roman" w:cs="Times New Roman"/>
          <w:sz w:val="24"/>
          <w:szCs w:val="24"/>
          <w:lang w:val="sr-Latn-RS"/>
        </w:rPr>
        <w:t xml:space="preserve">a </w:t>
      </w:r>
      <w:r w:rsidRPr="00D7773C">
        <w:rPr>
          <w:rFonts w:ascii="Times New Roman" w:eastAsia="Times New Roman" w:hAnsi="Times New Roman" w:cs="Times New Roman"/>
          <w:sz w:val="24"/>
          <w:szCs w:val="24"/>
          <w:lang w:val="sr-Latn-RS"/>
        </w:rPr>
        <w:t>predvodi istraživački proces.</w:t>
      </w:r>
    </w:p>
    <w:p w14:paraId="093F88F0" w14:textId="77777777" w:rsidR="00336B41" w:rsidRPr="00D7773C" w:rsidRDefault="00000000">
      <w:pPr>
        <w:spacing w:line="360" w:lineRule="auto"/>
        <w:jc w:val="both"/>
        <w:rPr>
          <w:rFonts w:ascii="Times New Roman" w:eastAsia="Times New Roman" w:hAnsi="Times New Roman" w:cs="Times New Roman"/>
          <w:i/>
          <w:sz w:val="24"/>
          <w:szCs w:val="24"/>
          <w:u w:val="single"/>
          <w:lang w:val="sr-Latn-RS"/>
        </w:rPr>
      </w:pPr>
      <w:r w:rsidRPr="00D7773C">
        <w:rPr>
          <w:rFonts w:ascii="Times New Roman" w:eastAsia="Times New Roman" w:hAnsi="Times New Roman" w:cs="Times New Roman"/>
          <w:i/>
          <w:sz w:val="24"/>
          <w:szCs w:val="24"/>
          <w:u w:val="single"/>
          <w:lang w:val="sr-Latn-RS"/>
        </w:rPr>
        <w:t>Projekat #PassportToSuccess</w:t>
      </w:r>
    </w:p>
    <w:p w14:paraId="6575197B" w14:textId="77777777" w:rsidR="00336B41" w:rsidRPr="00D7773C" w:rsidRDefault="00000000">
      <w:pPr>
        <w:spacing w:line="360" w:lineRule="auto"/>
        <w:ind w:firstLine="720"/>
        <w:jc w:val="both"/>
        <w:rPr>
          <w:rFonts w:ascii="Times New Roman" w:eastAsia="Times New Roman" w:hAnsi="Times New Roman" w:cs="Times New Roman"/>
          <w:sz w:val="24"/>
          <w:szCs w:val="24"/>
          <w:lang w:val="sr-Latn-RS"/>
        </w:rPr>
      </w:pPr>
      <w:r w:rsidRPr="00D7773C">
        <w:rPr>
          <w:rFonts w:ascii="Times New Roman" w:eastAsia="Times New Roman" w:hAnsi="Times New Roman" w:cs="Times New Roman"/>
          <w:sz w:val="24"/>
          <w:szCs w:val="24"/>
          <w:lang w:val="sr-Latn-RS"/>
        </w:rPr>
        <w:t xml:space="preserve"> Projekat </w:t>
      </w:r>
      <w:hyperlink r:id="rId14">
        <w:r w:rsidRPr="00D7773C">
          <w:rPr>
            <w:rFonts w:ascii="Times New Roman" w:eastAsia="Times New Roman" w:hAnsi="Times New Roman" w:cs="Times New Roman"/>
            <w:color w:val="1155CC"/>
            <w:sz w:val="24"/>
            <w:szCs w:val="24"/>
            <w:u w:val="single"/>
            <w:lang w:val="sr-Latn-RS"/>
          </w:rPr>
          <w:t>#PassportToSuccess</w:t>
        </w:r>
      </w:hyperlink>
      <w:r w:rsidRPr="00D7773C">
        <w:rPr>
          <w:rFonts w:ascii="Times New Roman" w:eastAsia="Times New Roman" w:hAnsi="Times New Roman" w:cs="Times New Roman"/>
          <w:sz w:val="24"/>
          <w:szCs w:val="24"/>
          <w:lang w:val="sr-Latn-RS"/>
        </w:rPr>
        <w:t xml:space="preserve"> za cilj ima utvrđivanje učinkovitosti “Pasoša” (eng. Passport), univerzalnog programa za podršku socio-emocionalnog učenja implementiranog u kurikulum za mlađe razrede osnovne škole. Iako tim sa UoM nije sam kreirao “Pasoš”, longitudinalno prati njegovu delotvornost kod dece različitih uzrasta, pre svega kvalitativnim metodama poput intervjua sa učenicima i nastavnicima. Do mog dolaska, prikupljen je sav potreban kvalitativni materijal i otpočete su pripreme za njegovu analizu. Nažalost, zbog problema sa programom koji omogućava </w:t>
      </w:r>
      <w:r w:rsidRPr="00D7773C">
        <w:rPr>
          <w:rFonts w:ascii="Times New Roman" w:eastAsia="Times New Roman" w:hAnsi="Times New Roman" w:cs="Times New Roman"/>
          <w:i/>
          <w:sz w:val="24"/>
          <w:szCs w:val="24"/>
          <w:lang w:val="sr-Latn-RS"/>
        </w:rPr>
        <w:t>in vivo</w:t>
      </w:r>
      <w:r w:rsidRPr="00D7773C">
        <w:rPr>
          <w:rFonts w:ascii="Times New Roman" w:eastAsia="Times New Roman" w:hAnsi="Times New Roman" w:cs="Times New Roman"/>
          <w:sz w:val="24"/>
          <w:szCs w:val="24"/>
          <w:lang w:val="sr-Latn-RS"/>
        </w:rPr>
        <w:t xml:space="preserve"> simultano kodiranje više različitih istraživača, faza analize podataka odložena je za period nakon moje razmene. Iz tog razloga, broj aktivnosti u kojima sam učestvovala u sklopu ovog projekta značajno je umanjen i one su se u najvećoj meri svodile na posmatranje održavanja odnosa sa različitim stejkholderima projekta i procesa planiranja analize podataka. </w:t>
      </w:r>
    </w:p>
    <w:p w14:paraId="585F69A9" w14:textId="77777777" w:rsidR="00336B41" w:rsidRPr="00D7773C" w:rsidRDefault="00336B41">
      <w:pPr>
        <w:spacing w:line="360" w:lineRule="auto"/>
        <w:ind w:firstLine="720"/>
        <w:jc w:val="both"/>
        <w:rPr>
          <w:rFonts w:ascii="Times New Roman" w:eastAsia="Times New Roman" w:hAnsi="Times New Roman" w:cs="Times New Roman"/>
          <w:sz w:val="24"/>
          <w:szCs w:val="24"/>
          <w:lang w:val="sr-Latn-RS"/>
        </w:rPr>
      </w:pPr>
    </w:p>
    <w:p w14:paraId="5F655A66" w14:textId="77777777" w:rsidR="00336B41" w:rsidRPr="00D7773C" w:rsidRDefault="00000000">
      <w:pPr>
        <w:spacing w:line="360" w:lineRule="auto"/>
        <w:jc w:val="both"/>
        <w:rPr>
          <w:rFonts w:ascii="Times New Roman" w:eastAsia="Times New Roman" w:hAnsi="Times New Roman" w:cs="Times New Roman"/>
          <w:i/>
          <w:sz w:val="24"/>
          <w:szCs w:val="24"/>
          <w:lang w:val="sr-Latn-RS"/>
        </w:rPr>
      </w:pPr>
      <w:r w:rsidRPr="00D7773C">
        <w:rPr>
          <w:rFonts w:ascii="Times New Roman" w:eastAsia="Times New Roman" w:hAnsi="Times New Roman" w:cs="Times New Roman"/>
          <w:i/>
          <w:sz w:val="24"/>
          <w:szCs w:val="24"/>
          <w:lang w:val="sr-Latn-RS"/>
        </w:rPr>
        <w:t xml:space="preserve">Krajnji utisci </w:t>
      </w:r>
    </w:p>
    <w:p w14:paraId="4E49EB5F" w14:textId="6CC29FDA" w:rsidR="00336B41" w:rsidRPr="00D7773C" w:rsidRDefault="00000000">
      <w:pPr>
        <w:spacing w:line="360" w:lineRule="auto"/>
        <w:jc w:val="both"/>
        <w:rPr>
          <w:rFonts w:ascii="Times New Roman" w:eastAsia="Times New Roman" w:hAnsi="Times New Roman" w:cs="Times New Roman"/>
          <w:sz w:val="24"/>
          <w:szCs w:val="24"/>
          <w:lang w:val="sr-Latn-RS"/>
        </w:rPr>
      </w:pPr>
      <w:r w:rsidRPr="00D7773C">
        <w:rPr>
          <w:rFonts w:ascii="Times New Roman" w:eastAsia="Times New Roman" w:hAnsi="Times New Roman" w:cs="Times New Roman"/>
          <w:sz w:val="24"/>
          <w:szCs w:val="24"/>
          <w:lang w:val="sr-Latn-RS"/>
        </w:rPr>
        <w:tab/>
        <w:t xml:space="preserve">Po završetku razmene, uvidela sam da nisam stekla isključivo formalna znanja o novim </w:t>
      </w:r>
      <w:r w:rsidR="00794193">
        <w:rPr>
          <w:rFonts w:ascii="Times New Roman" w:eastAsia="Times New Roman" w:hAnsi="Times New Roman" w:cs="Times New Roman"/>
          <w:sz w:val="24"/>
          <w:szCs w:val="24"/>
          <w:lang w:val="sr-Latn-RS"/>
        </w:rPr>
        <w:t xml:space="preserve">istraživačkim </w:t>
      </w:r>
      <w:r w:rsidRPr="00D7773C">
        <w:rPr>
          <w:rFonts w:ascii="Times New Roman" w:eastAsia="Times New Roman" w:hAnsi="Times New Roman" w:cs="Times New Roman"/>
          <w:sz w:val="24"/>
          <w:szCs w:val="24"/>
          <w:lang w:val="sr-Latn-RS"/>
        </w:rPr>
        <w:t xml:space="preserve">metodama i usvojila nove načine razmišljanja jednog istraživača, već i da sam imala sreću i zadovoljstvo da upoznam mnoštvo ambicioznih i predusretljivih ljudi koji sada čine mrežu mojih potencijalnih budućih kolega, saradnika i prijatelja. Ovom prilikom želela bih da istaknem važnost internacionalnih iskustava, naročito (ali ne isključivo) za mlade ljude koji se nalaze na početku karijere i životnog puta. Internacionalna iskustva imaju snagu da uzdrmaju, preobrate, </w:t>
      </w:r>
      <w:r w:rsidRPr="00D7773C">
        <w:rPr>
          <w:rFonts w:ascii="Times New Roman" w:eastAsia="Times New Roman" w:hAnsi="Times New Roman" w:cs="Times New Roman"/>
          <w:sz w:val="24"/>
          <w:szCs w:val="24"/>
          <w:lang w:val="sr-Latn-RS"/>
        </w:rPr>
        <w:lastRenderedPageBreak/>
        <w:t xml:space="preserve">usmere i razjasne životne i profesionalne želje pojedinca i pomognu mu da sebe pozicionira spram sistema u kome funkcioniše. Najiskrenije se zahvaljujem Fondaciji “Borislav Lorenc” na podršci putevima </w:t>
      </w:r>
      <w:r w:rsidR="00794193">
        <w:rPr>
          <w:rFonts w:ascii="Times New Roman" w:eastAsia="Times New Roman" w:hAnsi="Times New Roman" w:cs="Times New Roman"/>
          <w:sz w:val="24"/>
          <w:szCs w:val="24"/>
          <w:lang w:val="sr-Latn-RS"/>
        </w:rPr>
        <w:t>preobražavanja</w:t>
      </w:r>
      <w:r w:rsidRPr="00D7773C">
        <w:rPr>
          <w:rFonts w:ascii="Times New Roman" w:eastAsia="Times New Roman" w:hAnsi="Times New Roman" w:cs="Times New Roman"/>
          <w:sz w:val="24"/>
          <w:szCs w:val="24"/>
          <w:lang w:val="sr-Latn-RS"/>
        </w:rPr>
        <w:t xml:space="preserve"> mladih ljudi sa naših prostora, uz isticanje kolika je čast biti jedna od tih izabranih pojedinaca. </w:t>
      </w:r>
    </w:p>
    <w:p w14:paraId="04D78012" w14:textId="77777777" w:rsidR="00336B41" w:rsidRPr="00D7773C" w:rsidRDefault="00336B41">
      <w:pPr>
        <w:spacing w:line="360" w:lineRule="auto"/>
        <w:jc w:val="both"/>
        <w:rPr>
          <w:rFonts w:ascii="Times New Roman" w:eastAsia="Times New Roman" w:hAnsi="Times New Roman" w:cs="Times New Roman"/>
          <w:sz w:val="24"/>
          <w:szCs w:val="24"/>
          <w:lang w:val="sr-Latn-RS"/>
        </w:rPr>
      </w:pPr>
    </w:p>
    <w:p w14:paraId="5A58DCDF" w14:textId="77777777" w:rsidR="00336B41" w:rsidRPr="00D7773C" w:rsidRDefault="00000000">
      <w:pPr>
        <w:spacing w:line="360" w:lineRule="auto"/>
        <w:jc w:val="both"/>
        <w:rPr>
          <w:rFonts w:ascii="Times New Roman" w:eastAsia="Times New Roman" w:hAnsi="Times New Roman" w:cs="Times New Roman"/>
          <w:i/>
          <w:sz w:val="24"/>
          <w:szCs w:val="24"/>
          <w:lang w:val="sr-Latn-RS"/>
        </w:rPr>
      </w:pPr>
      <w:r w:rsidRPr="00D7773C">
        <w:rPr>
          <w:rFonts w:ascii="Times New Roman" w:eastAsia="Times New Roman" w:hAnsi="Times New Roman" w:cs="Times New Roman"/>
          <w:i/>
          <w:sz w:val="24"/>
          <w:szCs w:val="24"/>
          <w:lang w:val="sr-Latn-RS"/>
        </w:rPr>
        <w:t xml:space="preserve">Procena troškova </w:t>
      </w:r>
    </w:p>
    <w:p w14:paraId="1E1E48E8" w14:textId="77777777" w:rsidR="00336B41" w:rsidRPr="00D7773C" w:rsidRDefault="00000000">
      <w:pPr>
        <w:spacing w:line="360" w:lineRule="auto"/>
        <w:jc w:val="both"/>
        <w:rPr>
          <w:rFonts w:ascii="Times New Roman" w:eastAsia="Times New Roman" w:hAnsi="Times New Roman" w:cs="Times New Roman"/>
          <w:sz w:val="24"/>
          <w:szCs w:val="24"/>
          <w:lang w:val="sr-Latn-RS"/>
        </w:rPr>
      </w:pPr>
      <w:r w:rsidRPr="00D7773C">
        <w:rPr>
          <w:rFonts w:ascii="Times New Roman" w:eastAsia="Times New Roman" w:hAnsi="Times New Roman" w:cs="Times New Roman"/>
          <w:sz w:val="24"/>
          <w:szCs w:val="24"/>
          <w:lang w:val="sr-Latn-RS"/>
        </w:rPr>
        <w:t>Tabela troškova nije zasnovana na preciznim obračunima utrošenih sredstava, već na okvirnoj proceni troškova za različite sfere života u inostranstvu.</w:t>
      </w:r>
    </w:p>
    <w:tbl>
      <w:tblPr>
        <w:tblStyle w:val="a"/>
        <w:tblW w:w="8745" w:type="dxa"/>
        <w:tblBorders>
          <w:top w:val="nil"/>
          <w:left w:val="nil"/>
          <w:bottom w:val="nil"/>
          <w:right w:val="nil"/>
          <w:insideH w:val="nil"/>
          <w:insideV w:val="nil"/>
        </w:tblBorders>
        <w:tblLayout w:type="fixed"/>
        <w:tblLook w:val="0600" w:firstRow="0" w:lastRow="0" w:firstColumn="0" w:lastColumn="0" w:noHBand="1" w:noVBand="1"/>
      </w:tblPr>
      <w:tblGrid>
        <w:gridCol w:w="3090"/>
        <w:gridCol w:w="3060"/>
        <w:gridCol w:w="2595"/>
      </w:tblGrid>
      <w:tr w:rsidR="00336B41" w:rsidRPr="00D7773C" w14:paraId="248FF420" w14:textId="77777777">
        <w:trPr>
          <w:trHeight w:val="360"/>
        </w:trPr>
        <w:tc>
          <w:tcPr>
            <w:tcW w:w="3090" w:type="dxa"/>
            <w:tcBorders>
              <w:top w:val="single" w:sz="10" w:space="0" w:color="000000"/>
              <w:left w:val="single" w:sz="5" w:space="0" w:color="CCCCCC"/>
              <w:bottom w:val="single" w:sz="10" w:space="0" w:color="000000"/>
              <w:right w:val="single" w:sz="5" w:space="0" w:color="CCCCCC"/>
            </w:tcBorders>
            <w:tcMar>
              <w:top w:w="40" w:type="dxa"/>
              <w:left w:w="40" w:type="dxa"/>
              <w:bottom w:w="40" w:type="dxa"/>
              <w:right w:w="40" w:type="dxa"/>
            </w:tcMar>
            <w:vAlign w:val="bottom"/>
          </w:tcPr>
          <w:p w14:paraId="0ADFA35B"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b/>
                <w:sz w:val="24"/>
                <w:szCs w:val="24"/>
                <w:lang w:val="sr-Latn-RS"/>
              </w:rPr>
              <w:t>Naziv troška</w:t>
            </w:r>
          </w:p>
        </w:tc>
        <w:tc>
          <w:tcPr>
            <w:tcW w:w="3060" w:type="dxa"/>
            <w:tcBorders>
              <w:top w:val="single" w:sz="10" w:space="0" w:color="000000"/>
              <w:left w:val="single" w:sz="5" w:space="0" w:color="CCCCCC"/>
              <w:bottom w:val="single" w:sz="10" w:space="0" w:color="000000"/>
              <w:right w:val="single" w:sz="5" w:space="0" w:color="CCCCCC"/>
            </w:tcBorders>
            <w:tcMar>
              <w:top w:w="40" w:type="dxa"/>
              <w:left w:w="40" w:type="dxa"/>
              <w:bottom w:w="40" w:type="dxa"/>
              <w:right w:w="40" w:type="dxa"/>
            </w:tcMar>
            <w:vAlign w:val="bottom"/>
          </w:tcPr>
          <w:p w14:paraId="408AA0F1"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b/>
                <w:sz w:val="24"/>
                <w:szCs w:val="24"/>
                <w:lang w:val="sr-Latn-RS"/>
              </w:rPr>
              <w:t>Kategorija</w:t>
            </w:r>
          </w:p>
        </w:tc>
        <w:tc>
          <w:tcPr>
            <w:tcW w:w="2595" w:type="dxa"/>
            <w:tcBorders>
              <w:top w:val="single" w:sz="10" w:space="0" w:color="000000"/>
              <w:left w:val="single" w:sz="5" w:space="0" w:color="CCCCCC"/>
              <w:bottom w:val="single" w:sz="10" w:space="0" w:color="000000"/>
              <w:right w:val="single" w:sz="5" w:space="0" w:color="CCCCCC"/>
            </w:tcBorders>
            <w:tcMar>
              <w:top w:w="40" w:type="dxa"/>
              <w:left w:w="40" w:type="dxa"/>
              <w:bottom w:w="40" w:type="dxa"/>
              <w:right w:w="40" w:type="dxa"/>
            </w:tcMar>
            <w:vAlign w:val="bottom"/>
          </w:tcPr>
          <w:p w14:paraId="214D10F3"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b/>
                <w:sz w:val="24"/>
                <w:szCs w:val="24"/>
                <w:lang w:val="sr-Latn-RS"/>
              </w:rPr>
              <w:t>Iznos (€)</w:t>
            </w:r>
          </w:p>
        </w:tc>
      </w:tr>
      <w:tr w:rsidR="00336B41" w:rsidRPr="00D7773C" w14:paraId="468592A1" w14:textId="77777777">
        <w:trPr>
          <w:trHeight w:val="360"/>
        </w:trPr>
        <w:tc>
          <w:tcPr>
            <w:tcW w:w="30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41952BCB"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Viza</w:t>
            </w:r>
          </w:p>
        </w:tc>
        <w:tc>
          <w:tcPr>
            <w:tcW w:w="30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2BDDF1E"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Pre odlaska</w:t>
            </w:r>
          </w:p>
        </w:tc>
        <w:tc>
          <w:tcPr>
            <w:tcW w:w="25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925499C"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450</w:t>
            </w:r>
          </w:p>
        </w:tc>
      </w:tr>
      <w:tr w:rsidR="00336B41" w:rsidRPr="00D7773C" w14:paraId="7B1B6F9E" w14:textId="77777777">
        <w:trPr>
          <w:trHeight w:val="345"/>
        </w:trPr>
        <w:tc>
          <w:tcPr>
            <w:tcW w:w="30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0D5703BB"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Avionska karta (povratna)</w:t>
            </w:r>
          </w:p>
        </w:tc>
        <w:tc>
          <w:tcPr>
            <w:tcW w:w="30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36DD38"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Pre odlaska</w:t>
            </w:r>
          </w:p>
        </w:tc>
        <w:tc>
          <w:tcPr>
            <w:tcW w:w="25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79D1A7B3"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350</w:t>
            </w:r>
          </w:p>
        </w:tc>
      </w:tr>
      <w:tr w:rsidR="00336B41" w:rsidRPr="00D7773C" w14:paraId="003276CE" w14:textId="77777777">
        <w:trPr>
          <w:trHeight w:val="345"/>
        </w:trPr>
        <w:tc>
          <w:tcPr>
            <w:tcW w:w="30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695E852"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Smeštaj (celokupni boravak)</w:t>
            </w:r>
          </w:p>
        </w:tc>
        <w:tc>
          <w:tcPr>
            <w:tcW w:w="30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FFE8F99"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Pre odlaska</w:t>
            </w:r>
          </w:p>
        </w:tc>
        <w:tc>
          <w:tcPr>
            <w:tcW w:w="25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03D79316"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1800</w:t>
            </w:r>
          </w:p>
        </w:tc>
      </w:tr>
      <w:tr w:rsidR="00336B41" w:rsidRPr="00D7773C" w14:paraId="02D38C48" w14:textId="77777777">
        <w:trPr>
          <w:trHeight w:val="345"/>
        </w:trPr>
        <w:tc>
          <w:tcPr>
            <w:tcW w:w="30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2B047F13"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Prevoz</w:t>
            </w:r>
          </w:p>
        </w:tc>
        <w:tc>
          <w:tcPr>
            <w:tcW w:w="30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68BC542"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Tokom boravka</w:t>
            </w:r>
          </w:p>
        </w:tc>
        <w:tc>
          <w:tcPr>
            <w:tcW w:w="25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B1B5689"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150</w:t>
            </w:r>
          </w:p>
        </w:tc>
      </w:tr>
      <w:tr w:rsidR="00336B41" w:rsidRPr="00D7773C" w14:paraId="4B2A7024" w14:textId="77777777">
        <w:trPr>
          <w:trHeight w:val="345"/>
        </w:trPr>
        <w:tc>
          <w:tcPr>
            <w:tcW w:w="30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08B956B7"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Troškovi telefona</w:t>
            </w:r>
          </w:p>
        </w:tc>
        <w:tc>
          <w:tcPr>
            <w:tcW w:w="30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49405292"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Tokom boravka</w:t>
            </w:r>
          </w:p>
        </w:tc>
        <w:tc>
          <w:tcPr>
            <w:tcW w:w="25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43AC7C54"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50</w:t>
            </w:r>
          </w:p>
        </w:tc>
      </w:tr>
      <w:tr w:rsidR="00336B41" w:rsidRPr="00D7773C" w14:paraId="1E8350D9" w14:textId="77777777">
        <w:trPr>
          <w:trHeight w:val="345"/>
        </w:trPr>
        <w:tc>
          <w:tcPr>
            <w:tcW w:w="30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61CF5D0"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Prodavnica, potrepštine</w:t>
            </w:r>
          </w:p>
        </w:tc>
        <w:tc>
          <w:tcPr>
            <w:tcW w:w="30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00EF326"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Tokom boravka</w:t>
            </w:r>
          </w:p>
        </w:tc>
        <w:tc>
          <w:tcPr>
            <w:tcW w:w="25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2892B054"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2000</w:t>
            </w:r>
          </w:p>
        </w:tc>
      </w:tr>
      <w:tr w:rsidR="00336B41" w:rsidRPr="00D7773C" w14:paraId="4A2C709C" w14:textId="77777777">
        <w:trPr>
          <w:trHeight w:val="360"/>
        </w:trPr>
        <w:tc>
          <w:tcPr>
            <w:tcW w:w="3090" w:type="dxa"/>
            <w:tcBorders>
              <w:top w:val="single" w:sz="5" w:space="0" w:color="CCCCCC"/>
              <w:left w:val="single" w:sz="5" w:space="0" w:color="CCCCCC"/>
              <w:bottom w:val="single" w:sz="10" w:space="0" w:color="000000"/>
              <w:right w:val="single" w:sz="5" w:space="0" w:color="CCCCCC"/>
            </w:tcBorders>
            <w:tcMar>
              <w:top w:w="40" w:type="dxa"/>
              <w:left w:w="40" w:type="dxa"/>
              <w:bottom w:w="40" w:type="dxa"/>
              <w:right w:w="40" w:type="dxa"/>
            </w:tcMar>
            <w:vAlign w:val="bottom"/>
          </w:tcPr>
          <w:p w14:paraId="2EC14F81"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Ostalo</w:t>
            </w:r>
          </w:p>
        </w:tc>
        <w:tc>
          <w:tcPr>
            <w:tcW w:w="3060" w:type="dxa"/>
            <w:tcBorders>
              <w:top w:val="single" w:sz="5" w:space="0" w:color="CCCCCC"/>
              <w:left w:val="single" w:sz="5" w:space="0" w:color="CCCCCC"/>
              <w:bottom w:val="single" w:sz="10" w:space="0" w:color="000000"/>
              <w:right w:val="single" w:sz="5" w:space="0" w:color="CCCCCC"/>
            </w:tcBorders>
            <w:tcMar>
              <w:top w:w="40" w:type="dxa"/>
              <w:left w:w="40" w:type="dxa"/>
              <w:bottom w:w="40" w:type="dxa"/>
              <w:right w:w="40" w:type="dxa"/>
            </w:tcMar>
            <w:vAlign w:val="bottom"/>
          </w:tcPr>
          <w:p w14:paraId="4913C3F5"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Tokom boravka</w:t>
            </w:r>
          </w:p>
        </w:tc>
        <w:tc>
          <w:tcPr>
            <w:tcW w:w="2595" w:type="dxa"/>
            <w:tcBorders>
              <w:top w:val="single" w:sz="5" w:space="0" w:color="CCCCCC"/>
              <w:left w:val="single" w:sz="5" w:space="0" w:color="CCCCCC"/>
              <w:bottom w:val="single" w:sz="10" w:space="0" w:color="000000"/>
              <w:right w:val="single" w:sz="5" w:space="0" w:color="CCCCCC"/>
            </w:tcBorders>
            <w:tcMar>
              <w:top w:w="40" w:type="dxa"/>
              <w:left w:w="40" w:type="dxa"/>
              <w:bottom w:w="40" w:type="dxa"/>
              <w:right w:w="40" w:type="dxa"/>
            </w:tcMar>
            <w:vAlign w:val="bottom"/>
          </w:tcPr>
          <w:p w14:paraId="16515B68"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sz w:val="24"/>
                <w:szCs w:val="24"/>
                <w:lang w:val="sr-Latn-RS"/>
              </w:rPr>
              <w:t>400</w:t>
            </w:r>
          </w:p>
        </w:tc>
      </w:tr>
      <w:tr w:rsidR="00336B41" w:rsidRPr="00D7773C" w14:paraId="744656C9" w14:textId="77777777">
        <w:trPr>
          <w:trHeight w:val="360"/>
        </w:trPr>
        <w:tc>
          <w:tcPr>
            <w:tcW w:w="6150" w:type="dxa"/>
            <w:gridSpan w:val="2"/>
            <w:tcBorders>
              <w:top w:val="single" w:sz="5" w:space="0" w:color="CCCCCC"/>
              <w:left w:val="single" w:sz="5" w:space="0" w:color="CCCCCC"/>
              <w:bottom w:val="single" w:sz="10" w:space="0" w:color="000000"/>
              <w:right w:val="single" w:sz="5" w:space="0" w:color="CCCCCC"/>
            </w:tcBorders>
            <w:tcMar>
              <w:top w:w="40" w:type="dxa"/>
              <w:left w:w="40" w:type="dxa"/>
              <w:bottom w:w="40" w:type="dxa"/>
              <w:right w:w="40" w:type="dxa"/>
            </w:tcMar>
            <w:vAlign w:val="bottom"/>
          </w:tcPr>
          <w:p w14:paraId="25E8E39F" w14:textId="77777777" w:rsidR="00336B41" w:rsidRPr="00D7773C" w:rsidRDefault="00000000">
            <w:pPr>
              <w:widowControl w:val="0"/>
              <w:jc w:val="center"/>
              <w:rPr>
                <w:sz w:val="20"/>
                <w:szCs w:val="20"/>
                <w:lang w:val="sr-Latn-RS"/>
              </w:rPr>
            </w:pPr>
            <w:r w:rsidRPr="00D7773C">
              <w:rPr>
                <w:rFonts w:ascii="Times New Roman" w:eastAsia="Times New Roman" w:hAnsi="Times New Roman" w:cs="Times New Roman"/>
                <w:b/>
                <w:sz w:val="24"/>
                <w:szCs w:val="24"/>
                <w:lang w:val="sr-Latn-RS"/>
              </w:rPr>
              <w:t>Ukupno</w:t>
            </w:r>
          </w:p>
        </w:tc>
        <w:tc>
          <w:tcPr>
            <w:tcW w:w="2595" w:type="dxa"/>
            <w:tcBorders>
              <w:top w:val="single" w:sz="5" w:space="0" w:color="CCCCCC"/>
              <w:left w:val="single" w:sz="5" w:space="0" w:color="CCCCCC"/>
              <w:bottom w:val="single" w:sz="10" w:space="0" w:color="000000"/>
              <w:right w:val="single" w:sz="5" w:space="0" w:color="CCCCCC"/>
            </w:tcBorders>
            <w:shd w:val="clear" w:color="auto" w:fill="auto"/>
            <w:tcMar>
              <w:top w:w="40" w:type="dxa"/>
              <w:left w:w="40" w:type="dxa"/>
              <w:bottom w:w="40" w:type="dxa"/>
              <w:right w:w="40" w:type="dxa"/>
            </w:tcMar>
            <w:vAlign w:val="bottom"/>
          </w:tcPr>
          <w:p w14:paraId="72710128" w14:textId="77777777" w:rsidR="00336B41" w:rsidRPr="00D7773C" w:rsidRDefault="00000000">
            <w:pPr>
              <w:widowControl w:val="0"/>
              <w:jc w:val="center"/>
              <w:rPr>
                <w:b/>
                <w:sz w:val="20"/>
                <w:szCs w:val="20"/>
                <w:lang w:val="sr-Latn-RS"/>
              </w:rPr>
            </w:pPr>
            <w:r w:rsidRPr="00D7773C">
              <w:rPr>
                <w:rFonts w:ascii="Times New Roman" w:eastAsia="Times New Roman" w:hAnsi="Times New Roman" w:cs="Times New Roman"/>
                <w:b/>
                <w:sz w:val="24"/>
                <w:szCs w:val="24"/>
                <w:lang w:val="sr-Latn-RS"/>
              </w:rPr>
              <w:t>5000</w:t>
            </w:r>
          </w:p>
        </w:tc>
      </w:tr>
    </w:tbl>
    <w:p w14:paraId="497C5594" w14:textId="77777777" w:rsidR="00336B41" w:rsidRPr="00D7773C" w:rsidRDefault="00336B41">
      <w:pPr>
        <w:spacing w:line="360" w:lineRule="auto"/>
        <w:jc w:val="both"/>
        <w:rPr>
          <w:rFonts w:ascii="Times New Roman" w:eastAsia="Times New Roman" w:hAnsi="Times New Roman" w:cs="Times New Roman"/>
          <w:sz w:val="24"/>
          <w:szCs w:val="24"/>
          <w:lang w:val="sr-Latn-RS"/>
        </w:rPr>
      </w:pPr>
    </w:p>
    <w:p w14:paraId="41EBF2A5" w14:textId="77777777" w:rsidR="00336B41" w:rsidRPr="00D7773C" w:rsidRDefault="00000000">
      <w:pPr>
        <w:spacing w:line="360" w:lineRule="auto"/>
        <w:jc w:val="both"/>
        <w:rPr>
          <w:rFonts w:ascii="Times New Roman" w:eastAsia="Times New Roman" w:hAnsi="Times New Roman" w:cs="Times New Roman"/>
          <w:sz w:val="24"/>
          <w:szCs w:val="24"/>
          <w:lang w:val="sr-Latn-RS"/>
        </w:rPr>
      </w:pPr>
      <w:r w:rsidRPr="00D7773C">
        <w:rPr>
          <w:rFonts w:ascii="Times New Roman" w:eastAsia="Times New Roman" w:hAnsi="Times New Roman" w:cs="Times New Roman"/>
          <w:sz w:val="24"/>
          <w:szCs w:val="24"/>
          <w:lang w:val="sr-Latn-RS"/>
        </w:rPr>
        <w:tab/>
      </w:r>
    </w:p>
    <w:sectPr w:rsidR="00336B41" w:rsidRPr="00D777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41"/>
    <w:rsid w:val="00101705"/>
    <w:rsid w:val="00336B41"/>
    <w:rsid w:val="004126DB"/>
    <w:rsid w:val="00794193"/>
    <w:rsid w:val="00843A43"/>
    <w:rsid w:val="00A0334F"/>
    <w:rsid w:val="00D7773C"/>
    <w:rsid w:val="00E2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4D9CD"/>
  <w15:docId w15:val="{6FC396B7-CF5C-4007-8BBD-49355ACE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anchester.ac.uk/about/" TargetMode="External"/><Relationship Id="rId13" Type="http://schemas.openxmlformats.org/officeDocument/2006/relationships/hyperlink" Target="https://www.so-me-study.org/jhickmandunne" TargetMode="External"/><Relationship Id="rId3" Type="http://schemas.openxmlformats.org/officeDocument/2006/relationships/webSettings" Target="webSettings.xml"/><Relationship Id="rId7" Type="http://schemas.openxmlformats.org/officeDocument/2006/relationships/hyperlink" Target="https://www.manchestereveningnews.co.uk/special-features/200-years-university-manchester-four-29235144" TargetMode="External"/><Relationship Id="rId12" Type="http://schemas.openxmlformats.org/officeDocument/2006/relationships/hyperlink" Target="https://www.so-me-study.org/abou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anchester.ac.uk/" TargetMode="External"/><Relationship Id="rId11" Type="http://schemas.openxmlformats.org/officeDocument/2006/relationships/hyperlink" Target="https://beewellprogramme.org/beewell-win-making-a-difference-award/" TargetMode="External"/><Relationship Id="rId5" Type="http://schemas.openxmlformats.org/officeDocument/2006/relationships/hyperlink" Target="https://research.manchester.ac.uk/en/persons/neil.humphrey" TargetMode="External"/><Relationship Id="rId15" Type="http://schemas.openxmlformats.org/officeDocument/2006/relationships/fontTable" Target="fontTable.xml"/><Relationship Id="rId10" Type="http://schemas.openxmlformats.org/officeDocument/2006/relationships/hyperlink" Target="https://beewellprogramme.org/" TargetMode="External"/><Relationship Id="rId4" Type="http://schemas.openxmlformats.org/officeDocument/2006/relationships/hyperlink" Target="https://www.seed.manchester.ac.uk/" TargetMode="External"/><Relationship Id="rId9" Type="http://schemas.openxmlformats.org/officeDocument/2006/relationships/hyperlink" Target="https://www.linkedin.com/posts/university-of-manchester_three-years-ago-something-magical-happened-activity-7212048627316256768-hlor/?utm_source=share&amp;utm_medium=member_android" TargetMode="External"/><Relationship Id="rId14" Type="http://schemas.openxmlformats.org/officeDocument/2006/relationships/hyperlink" Target="https://www.passport2succe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1573</Words>
  <Characters>9540</Characters>
  <Application>Microsoft Office Word</Application>
  <DocSecurity>0</DocSecurity>
  <Lines>160</Lines>
  <Paragraphs>48</Paragraphs>
  <ScaleCrop>false</ScaleCrop>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Sanja Stojiljkovic</cp:lastModifiedBy>
  <cp:revision>8</cp:revision>
  <dcterms:created xsi:type="dcterms:W3CDTF">2024-08-27T17:22:00Z</dcterms:created>
  <dcterms:modified xsi:type="dcterms:W3CDTF">2024-08-27T17:36:00Z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614beadccd21346732798b4dd8b9b976bcca299495261d9c37fc773797d14132</vt:lpwstr>
  </property>
</Properties>
</file>